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commentsExtensible.xml" ContentType="application/vnd.openxmlformats-officedocument.wordprocessingml.commentsExtensi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right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Приложение №1 к Документации о закупке</w:t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Технические требования на выполнение работ</w:t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ind w:left="0" w:right="0" w:firstLine="0"/>
        <w:jc w:val="center"/>
        <w:spacing w:before="0" w:after="0" w:line="288" w:lineRule="atLeast"/>
        <w:rPr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КПД2 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43.99.90.190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i w:val="0"/>
          <w:iCs w:val="0"/>
          <w:color w:val="212121"/>
          <w:sz w:val="24"/>
          <w:szCs w:val="24"/>
          <w:highlight w:val="white"/>
          <w:u w:val="none"/>
        </w:rPr>
        <w:t xml:space="preserve">Выполнение строительно-монтажных работ (включая поставку оборудования и материалов) </w:t>
      </w:r>
      <w:r>
        <w:rPr>
          <w:rFonts w:ascii="Times New Roman" w:hAnsi="Times New Roman" w:eastAsia="Times New Roman" w:cs="Times New Roman"/>
          <w:i w:val="0"/>
          <w:iCs w:val="0"/>
          <w:color w:val="212121"/>
          <w:sz w:val="24"/>
          <w:szCs w:val="24"/>
          <w:highlight w:val="white"/>
          <w:u w:val="none"/>
        </w:rPr>
        <w:t xml:space="preserve">по объекту «Реконструкция системы пылеприготовления на котлоагрегате ТПЕ-214 СЗХЛ (Еп-670-13,8-545КТ)  ст. № 2 Нерюнгринской ГРЭС </w:t>
      </w:r>
      <w:r>
        <w:rPr>
          <w:rFonts w:ascii="Times New Roman" w:hAnsi="Times New Roman" w:eastAsia="Times New Roman" w:cs="Times New Roman"/>
          <w:i w:val="0"/>
          <w:iCs w:val="0"/>
          <w:color w:val="212121"/>
          <w:sz w:val="24"/>
          <w:szCs w:val="24"/>
          <w:highlight w:val="white"/>
          <w:u w:val="none"/>
        </w:rPr>
        <w:t xml:space="preserve">в пос. Серебряный бор Республика Саха (Якутия)</w:t>
      </w:r>
      <w:r>
        <w:rPr>
          <w:rFonts w:ascii="Times New Roman" w:hAnsi="Times New Roman" w:eastAsia="Times New Roman" w:cs="Times New Roman"/>
          <w:i w:val="0"/>
          <w:iCs w:val="0"/>
          <w:color w:val="212121"/>
          <w:sz w:val="24"/>
          <w:szCs w:val="24"/>
          <w:highlight w:val="white"/>
          <w:u w:val="none"/>
        </w:rPr>
        <w:t xml:space="preserve">» в рамках реализации инвестиционного проекта Q_505-НГ-163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0"/>
        <w:jc w:val="center"/>
        <w:spacing w:before="0" w:after="0" w:line="288" w:lineRule="atLeast"/>
        <w:rPr>
          <w:rFonts w:ascii="Times New Roman" w:hAnsi="Times New Roman" w:eastAsia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0" w:right="0" w:firstLine="0"/>
        <w:jc w:val="center"/>
        <w:spacing w:before="0" w:after="0" w:line="288" w:lineRule="atLeast"/>
        <w:rPr>
          <w:rFonts w:ascii="Times New Roman" w:hAnsi="Times New Roman" w:eastAsia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0" w:right="0" w:firstLine="0"/>
        <w:jc w:val="center"/>
        <w:spacing w:before="0" w:after="0" w:line="288" w:lineRule="atLeast"/>
        <w:rPr>
          <w:rFonts w:ascii="Times New Roman" w:hAnsi="Times New Roman" w:eastAsia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0" w:right="0" w:firstLine="0"/>
        <w:jc w:val="center"/>
        <w:spacing w:before="0" w:after="0" w:line="288" w:lineRule="atLeast"/>
        <w:rPr>
          <w:rFonts w:ascii="Times New Roman" w:hAnsi="Times New Roman" w:eastAsia="Times New Roman" w:cs="Times New Roman"/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center"/>
        <w:spacing w:line="360" w:lineRule="auto"/>
        <w:widowControl w:val="off"/>
        <w:rPr>
          <w:rFonts w:eastAsia="Lucida Sans Unicode"/>
          <w:b w:val="0"/>
          <w:bCs w:val="0"/>
          <w:i w:val="0"/>
          <w:sz w:val="28"/>
          <w:szCs w:val="28"/>
          <w:highlight w:val="white"/>
        </w:rPr>
      </w:pPr>
      <w:r>
        <w:rPr>
          <w:rFonts w:eastAsia="Lucida Sans Unicode"/>
          <w:sz w:val="28"/>
          <w:szCs w:val="28"/>
          <w:highlight w:val="white"/>
        </w:rPr>
        <w:t xml:space="preserve">№ лота  </w:t>
      </w:r>
      <w:r>
        <w:rPr>
          <w:rFonts w:eastAsia="Lucida Sans Unicode"/>
          <w:b w:val="0"/>
          <w:bCs w:val="0"/>
          <w:i w:val="0"/>
          <w:sz w:val="28"/>
          <w:szCs w:val="28"/>
          <w:highlight w:val="white"/>
        </w:rPr>
        <w:t xml:space="preserve">22123008-ТПИР ОБСЛ-2026-ДГК-НерГРЭС</w:t>
      </w:r>
      <w:r>
        <w:rPr>
          <w:rFonts w:eastAsia="Lucida Sans Unicode"/>
          <w:b w:val="0"/>
          <w:bCs w:val="0"/>
          <w:i w:val="0"/>
          <w:sz w:val="28"/>
          <w:szCs w:val="28"/>
          <w:highlight w:val="white"/>
        </w:rPr>
      </w:r>
      <w:r>
        <w:rPr>
          <w:rFonts w:eastAsia="Lucida Sans Unicode"/>
          <w:b w:val="0"/>
          <w:bCs w:val="0"/>
          <w:i w:val="0"/>
          <w:sz w:val="28"/>
          <w:szCs w:val="28"/>
          <w:highlight w:val="white"/>
        </w:rPr>
      </w:r>
    </w:p>
    <w:p>
      <w:pPr>
        <w:ind w:left="0" w:right="0" w:firstLine="0"/>
        <w:jc w:val="center"/>
        <w:spacing w:before="0" w:after="0" w:line="288" w:lineRule="atLeast"/>
        <w:rPr>
          <w:rFonts w:ascii="Times New Roman" w:hAnsi="Times New Roman" w:eastAsia="Times New Roman" w:cs="Times New Roman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jc w:val="center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shd w:val="nil" w:color="auto"/>
        <w:rPr>
          <w:b/>
          <w:bCs/>
          <w:sz w:val="24"/>
          <w:szCs w:val="24"/>
        </w:rPr>
      </w:pPr>
      <w:r>
        <w:rPr>
          <w:b/>
          <w:sz w:val="24"/>
          <w:szCs w:val="24"/>
          <w:highlight w:val="none"/>
        </w:rPr>
        <w:br w:type="page" w:clear="all"/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</w:rPr>
        <w:t xml:space="preserve">СОДЕРЖАНИЕ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Style w:val="1029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756"/>
        <w:gridCol w:w="8509"/>
        <w:gridCol w:w="658"/>
      </w:tblGrid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8718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Общие сведения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66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7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Обозначения и сокращения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закупаемой продукции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66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7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Цель выполнения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6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474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Таблица 1. Перечень объектов заказчика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66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35"/>
        </w:trPr>
        <w:tc>
          <w:tcPr>
            <w:tcW w:w="75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1.4.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718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Существующее положение дел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6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1.5.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718" w:type="dxa"/>
            <w:textDirection w:val="lrTb"/>
            <w:noWrap w:val="false"/>
          </w:tcPr>
          <w:p>
            <w:pPr>
              <w:jc w:val="both"/>
            </w:pPr>
            <w:r>
              <w:rPr>
                <w:sz w:val="24"/>
                <w:szCs w:val="24"/>
              </w:rPr>
              <w:t xml:space="preserve"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</w:t>
            </w:r>
            <w:r/>
          </w:p>
        </w:tc>
        <w:tc>
          <w:tcPr>
            <w:tcW w:w="66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8718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продукции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66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7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объемам и срокам выполнения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6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7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видам и объемам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6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47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Таблица 2. Перечень и объем выполняемых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6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2.1.2.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7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срокам выполнения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6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474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Таблица 3. Требования по срокам выполнения работ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66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8718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качеству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6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2"/>
            <w:tcW w:w="9474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Таблица 4. Требования к качеству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66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8718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документации по ценообразованию на этапе закупки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66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8718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документации по ценообразованию на этапе заключения (исполнения) договора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66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756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8718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Приложения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66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838"/>
        <w:numPr>
          <w:ilvl w:val="0"/>
          <w:numId w:val="0"/>
        </w:numPr>
        <w:rPr>
          <w:b w:val="0"/>
          <w:i/>
        </w:rPr>
      </w:pPr>
      <w:r>
        <w:rPr>
          <w:b w:val="0"/>
          <w:i/>
        </w:rPr>
      </w:r>
      <w:r>
        <w:rPr>
          <w:b w:val="0"/>
          <w:i/>
        </w:rPr>
      </w:r>
      <w:r>
        <w:rPr>
          <w:b w:val="0"/>
          <w:i/>
        </w:rPr>
      </w:r>
    </w:p>
    <w:p>
      <w:pPr>
        <w:jc w:val="center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  <w:br w:type="page" w:clear="all"/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pStyle w:val="837"/>
        <w:ind w:left="0" w:firstLine="0"/>
        <w:jc w:val="center"/>
        <w:rPr>
          <w:sz w:val="24"/>
        </w:rPr>
      </w:pPr>
      <w:r/>
      <w:bookmarkStart w:id="0" w:name="_Toc46743506"/>
      <w:r/>
      <w:bookmarkStart w:id="1" w:name="_Toc54646397"/>
      <w:r>
        <w:rPr>
          <w:sz w:val="24"/>
        </w:rPr>
        <w:t xml:space="preserve">ОБЩИЕ СВЕДЕНИЯ</w:t>
      </w:r>
      <w:r>
        <w:rPr>
          <w:sz w:val="24"/>
        </w:rPr>
      </w:r>
      <w:r>
        <w:rPr>
          <w:sz w:val="24"/>
        </w:rPr>
      </w:r>
    </w:p>
    <w:p>
      <w:pPr>
        <w:pStyle w:val="840"/>
        <w:ind w:firstLine="135"/>
      </w:pPr>
      <w:r>
        <w:t xml:space="preserve">Обозначения и сокращения</w:t>
      </w:r>
      <w:r/>
    </w:p>
    <w:tbl>
      <w:tblPr>
        <w:tblStyle w:val="1029"/>
        <w:tblW w:w="0" w:type="auto"/>
        <w:tblLayout w:type="fixed"/>
        <w:tblLook w:val="04A0" w:firstRow="1" w:lastRow="0" w:firstColumn="1" w:lastColumn="0" w:noHBand="0" w:noVBand="1"/>
      </w:tblPr>
      <w:tblGrid>
        <w:gridCol w:w="2693"/>
        <w:gridCol w:w="6236"/>
      </w:tblGrid>
      <w:tr>
        <w:tblPrEx/>
        <w:trPr/>
        <w:tc>
          <w:tcPr>
            <w:tcW w:w="2693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0"/>
              </w:numPr>
              <w:rPr>
                <w:b w:val="0"/>
                <w:bCs w:val="0"/>
              </w:rPr>
              <w:outlineLvl w:val="3"/>
            </w:pPr>
            <w:r>
              <w:rPr>
                <w:b w:val="0"/>
              </w:rPr>
              <w:t xml:space="preserve">респ.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W w:w="6236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0"/>
              </w:numPr>
              <w:rPr>
                <w:b w:val="0"/>
                <w:bCs w:val="0"/>
              </w:rPr>
              <w:outlineLvl w:val="3"/>
            </w:pPr>
            <w:r>
              <w:rPr>
                <w:b w:val="0"/>
              </w:rPr>
              <w:t xml:space="preserve">республика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</w:tr>
      <w:tr>
        <w:tblPrEx/>
        <w:trPr/>
        <w:tc>
          <w:tcPr>
            <w:tcW w:w="2693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0"/>
              </w:numPr>
              <w:rPr>
                <w:bCs w:val="0"/>
              </w:rPr>
              <w:outlineLvl w:val="3"/>
            </w:pPr>
            <w:r>
              <w:rPr>
                <w:b w:val="0"/>
              </w:rPr>
              <w:t xml:space="preserve">пос.</w:t>
            </w:r>
            <w:r>
              <w:rPr>
                <w:bCs w:val="0"/>
              </w:rPr>
            </w:r>
            <w:r>
              <w:rPr>
                <w:bCs w:val="0"/>
              </w:rPr>
            </w:r>
          </w:p>
        </w:tc>
        <w:tc>
          <w:tcPr>
            <w:tcW w:w="6236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0"/>
              </w:numPr>
              <w:rPr>
                <w:b w:val="0"/>
                <w:bCs w:val="0"/>
              </w:rPr>
              <w:outlineLvl w:val="3"/>
            </w:pPr>
            <w:r>
              <w:rPr>
                <w:b w:val="0"/>
              </w:rPr>
              <w:t xml:space="preserve">поселок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</w:tr>
      <w:tr>
        <w:tblPrEx/>
        <w:trPr/>
        <w:tc>
          <w:tcPr>
            <w:tcW w:w="2693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0"/>
              </w:numPr>
              <w:rPr>
                <w:b w:val="0"/>
                <w:bCs w:val="0"/>
              </w:rPr>
              <w:outlineLvl w:val="3"/>
            </w:pPr>
            <w:r>
              <w:rPr>
                <w:b w:val="0"/>
              </w:rPr>
              <w:t xml:space="preserve">пгт.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W w:w="6236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0"/>
              </w:numPr>
              <w:rPr>
                <w:b w:val="0"/>
                <w:bCs w:val="0"/>
              </w:rPr>
              <w:outlineLvl w:val="3"/>
            </w:pPr>
            <w:r>
              <w:rPr>
                <w:b w:val="0"/>
              </w:rPr>
              <w:t xml:space="preserve">поселок городского типа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</w:tr>
      <w:tr>
        <w:tblPrEx/>
        <w:trPr/>
        <w:tc>
          <w:tcPr>
            <w:tcW w:w="2693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0"/>
              </w:numPr>
              <w:rPr>
                <w:b w:val="0"/>
                <w:bCs w:val="0"/>
              </w:rPr>
              <w:outlineLvl w:val="3"/>
            </w:pPr>
            <w:r>
              <w:rPr>
                <w:b w:val="0"/>
                <w:bCs w:val="0"/>
              </w:rPr>
              <w:t xml:space="preserve">пром.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W w:w="6236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0"/>
              </w:numPr>
              <w:rPr>
                <w:b w:val="0"/>
                <w:bCs w:val="0"/>
              </w:rPr>
              <w:outlineLvl w:val="3"/>
            </w:pPr>
            <w:r>
              <w:rPr>
                <w:b w:val="0"/>
                <w:bCs w:val="0"/>
              </w:rPr>
              <w:t xml:space="preserve">промышленной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</w:tr>
      <w:tr>
        <w:tblPrEx/>
        <w:trPr/>
        <w:tc>
          <w:tcPr>
            <w:tcW w:w="2693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0"/>
              </w:numPr>
              <w:rPr>
                <w:b w:val="0"/>
                <w:bCs w:val="0"/>
              </w:rPr>
              <w:outlineLvl w:val="3"/>
            </w:pPr>
            <w:r>
              <w:rPr>
                <w:b w:val="0"/>
                <w:bCs w:val="0"/>
              </w:rPr>
              <w:t xml:space="preserve">ТЭК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W w:w="6236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0"/>
              </w:numPr>
              <w:rPr>
                <w:b w:val="0"/>
                <w:bCs w:val="0"/>
              </w:rPr>
              <w:outlineLvl w:val="3"/>
            </w:pPr>
            <w:r>
              <w:rPr>
                <w:b w:val="0"/>
                <w:bCs w:val="0"/>
              </w:rPr>
              <w:t xml:space="preserve">территориальный энергетический комплекс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</w:tr>
      <w:tr>
        <w:tblPrEx/>
        <w:trPr/>
        <w:tc>
          <w:tcPr>
            <w:tcW w:w="2693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0"/>
              </w:numPr>
              <w:rPr>
                <w:b w:val="0"/>
                <w:bCs w:val="0"/>
              </w:rPr>
              <w:outlineLvl w:val="3"/>
            </w:pPr>
            <w:r>
              <w:rPr>
                <w:b w:val="0"/>
                <w:bCs w:val="0"/>
              </w:rPr>
              <w:t xml:space="preserve">ФЗ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W w:w="6236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0"/>
              </w:numPr>
              <w:rPr>
                <w:b w:val="0"/>
                <w:bCs w:val="0"/>
              </w:rPr>
              <w:outlineLvl w:val="3"/>
            </w:pPr>
            <w:r>
              <w:rPr>
                <w:b w:val="0"/>
                <w:bCs w:val="0"/>
              </w:rPr>
              <w:t xml:space="preserve">федеральный закон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</w:tr>
      <w:tr>
        <w:tblPrEx/>
        <w:trPr/>
        <w:tc>
          <w:tcPr>
            <w:tcW w:w="2693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0"/>
              </w:numPr>
              <w:rPr>
                <w:b w:val="0"/>
                <w:bCs w:val="0"/>
              </w:rPr>
              <w:outlineLvl w:val="3"/>
            </w:pPr>
            <w:r>
              <w:rPr>
                <w:b w:val="0"/>
                <w:bCs w:val="0"/>
              </w:rPr>
              <w:t xml:space="preserve">СНиП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W w:w="6236" w:type="dxa"/>
            <w:textDirection w:val="lrTb"/>
            <w:noWrap w:val="false"/>
          </w:tcPr>
          <w:p>
            <w:pPr>
              <w:pStyle w:val="840"/>
              <w:numPr>
                <w:ilvl w:val="0"/>
                <w:numId w:val="0"/>
              </w:numPr>
              <w:rPr>
                <w:b w:val="0"/>
                <w:bCs w:val="0"/>
              </w:rPr>
              <w:outlineLvl w:val="3"/>
            </w:pPr>
            <w:r>
              <w:rPr>
                <w:b w:val="0"/>
                <w:bCs w:val="0"/>
              </w:rPr>
              <w:t xml:space="preserve">строительные нормы  и правила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</w:tr>
      <w:tr>
        <w:tblPrEx/>
        <w:trPr>
          <w:trHeight w:val="336"/>
        </w:trPr>
        <w:tc>
          <w:tcPr>
            <w:tcW w:w="2693" w:type="dxa"/>
            <w:vMerge w:val="restart"/>
            <w:textDirection w:val="lrTb"/>
            <w:noWrap w:val="false"/>
          </w:tcPr>
          <w:p>
            <w:pPr>
              <w:pStyle w:val="840"/>
              <w:numPr>
                <w:ilvl w:val="0"/>
                <w:numId w:val="0"/>
              </w:numPr>
              <w:rPr>
                <w:b w:val="0"/>
                <w:bCs w:val="0"/>
              </w:rPr>
              <w:outlineLvl w:val="3"/>
            </w:pPr>
            <w:r>
              <w:rPr>
                <w:b w:val="0"/>
                <w:bCs w:val="0"/>
              </w:rPr>
              <w:t xml:space="preserve">ТТ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  <w:tc>
          <w:tcPr>
            <w:tcW w:w="6236" w:type="dxa"/>
            <w:vMerge w:val="restart"/>
            <w:textDirection w:val="lrTb"/>
            <w:noWrap w:val="false"/>
          </w:tcPr>
          <w:p>
            <w:pPr>
              <w:pStyle w:val="840"/>
              <w:numPr>
                <w:ilvl w:val="0"/>
                <w:numId w:val="0"/>
              </w:numPr>
              <w:rPr>
                <w:b w:val="0"/>
                <w:bCs w:val="0"/>
              </w:rPr>
              <w:outlineLvl w:val="3"/>
            </w:pPr>
            <w:r>
              <w:rPr>
                <w:b w:val="0"/>
                <w:bCs w:val="0"/>
              </w:rPr>
              <w:t xml:space="preserve">технические требования</w:t>
            </w:r>
            <w:r>
              <w:rPr>
                <w:b w:val="0"/>
                <w:bCs w:val="0"/>
              </w:rPr>
            </w:r>
            <w:r>
              <w:rPr>
                <w:b w:val="0"/>
                <w:bCs w:val="0"/>
              </w:rPr>
            </w:r>
          </w:p>
        </w:tc>
      </w:tr>
    </w:tbl>
    <w:p>
      <w:pPr>
        <w:pStyle w:val="840"/>
        <w:ind w:hanging="7"/>
        <w:rPr>
          <w:highlight w:val="white"/>
        </w:rPr>
      </w:pPr>
      <w:r>
        <w:rPr>
          <w:highlight w:val="white"/>
        </w:rPr>
        <w:t xml:space="preserve">Наименование закупаемой продукции</w:t>
      </w:r>
      <w:bookmarkStart w:id="2" w:name="_Toc46743507"/>
      <w:r/>
      <w:bookmarkStart w:id="3" w:name="_Toc54646398"/>
      <w:r/>
      <w:bookmarkEnd w:id="0"/>
      <w:r/>
      <w:bookmarkEnd w:id="1"/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О</w:t>
      </w:r>
      <w:r>
        <w:rPr>
          <w:sz w:val="24"/>
          <w:szCs w:val="24"/>
          <w:highlight w:val="white"/>
        </w:rPr>
        <w:t xml:space="preserve">КПД2 43.99.90.190 Выполнение строительно-монтажных работ (включая поставку оборудования и материалов) по объекту «Реконструкция системы пылеприготовления на котлоагрегате ТПЕ-214 СЗХЛ (Еп-670-13,8-545КТ)  ст. № 2 Нерюнгринской ГРЭС в пос. Серебряный бор Ре</w:t>
      </w:r>
      <w:r>
        <w:rPr>
          <w:sz w:val="24"/>
          <w:szCs w:val="24"/>
          <w:highlight w:val="white"/>
        </w:rPr>
        <w:t xml:space="preserve">спублика Саха (Якутия)» в рамках реализации инвестиционного проекта Q_505-НГ-163.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840"/>
        <w:ind w:hanging="7"/>
      </w:pPr>
      <w:r>
        <w:rPr>
          <w:b w:val="0"/>
          <w:bCs w:val="0"/>
        </w:rPr>
        <w:t xml:space="preserve"> </w:t>
      </w:r>
      <w:r>
        <w:t xml:space="preserve">Цель </w:t>
      </w:r>
      <w:bookmarkEnd w:id="2"/>
      <w:r>
        <w:t xml:space="preserve">выполнения работ</w:t>
      </w:r>
      <w:bookmarkEnd w:id="3"/>
      <w:r/>
      <w:r/>
    </w:p>
    <w:p>
      <w:pPr>
        <w:pStyle w:val="840"/>
        <w:numPr>
          <w:ilvl w:val="0"/>
          <w:numId w:val="0"/>
        </w:numPr>
        <w:jc w:val="both"/>
        <w:rPr>
          <w:b w:val="0"/>
        </w:rPr>
      </w:pPr>
      <w:r>
        <w:rPr>
          <w:b w:val="0"/>
          <w:bCs w:val="0"/>
        </w:rPr>
        <w:t xml:space="preserve">Улуч</w:t>
      </w:r>
      <w:r>
        <w:rPr>
          <w:b w:val="0"/>
          <w:bCs w:val="0"/>
        </w:rPr>
        <w:t xml:space="preserve">шение технико-экономических показателей основных средств. </w:t>
      </w:r>
      <w:r>
        <w:t xml:space="preserve"> </w:t>
      </w:r>
      <w:bookmarkStart w:id="4" w:name="_Toc46743508"/>
      <w:r/>
      <w:bookmarkStart w:id="5" w:name="_Toc54646399"/>
      <w:r>
        <w:rPr>
          <w:b w:val="0"/>
        </w:rPr>
      </w:r>
      <w:r>
        <w:rPr>
          <w:b w:val="0"/>
        </w:rPr>
      </w:r>
    </w:p>
    <w:p>
      <w:pPr>
        <w:pStyle w:val="837"/>
        <w:numPr>
          <w:ilvl w:val="0"/>
          <w:numId w:val="0"/>
        </w:numPr>
        <w:keepLines/>
        <w:spacing w:before="240"/>
        <w:rPr>
          <w:sz w:val="24"/>
          <w:szCs w:val="24"/>
        </w:rPr>
      </w:pPr>
      <w:r/>
      <w:bookmarkStart w:id="6" w:name="_Toc54646400"/>
      <w:r/>
      <w:bookmarkEnd w:id="4"/>
      <w:r/>
      <w:bookmarkEnd w:id="5"/>
      <w:r>
        <w:rPr>
          <w:sz w:val="24"/>
          <w:szCs w:val="24"/>
        </w:rPr>
        <w:t xml:space="preserve">Таблица 1. Перечень объектов заказчика</w:t>
      </w:r>
      <w:bookmarkEnd w:id="6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9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1872"/>
        <w:gridCol w:w="2693"/>
        <w:gridCol w:w="1984"/>
        <w:gridCol w:w="2552"/>
      </w:tblGrid>
      <w:tr>
        <w:tblPrEx/>
        <w:trPr/>
        <w:tc>
          <w:tcPr>
            <w:tcW w:w="81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7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объекта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/>
            </w:r>
            <w:r>
              <w:rPr>
                <w:iCs/>
                <w:sz w:val="24"/>
                <w:szCs w:val="24"/>
              </w:rPr>
              <w:t xml:space="preserve">(место производства работ)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</w:r>
            <w:r>
              <w:rPr>
                <w:sz w:val="24"/>
                <w:szCs w:val="24"/>
              </w:rPr>
              <w:br/>
              <w:t xml:space="preserve">(в отношении которого выполняются работы)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</w:t>
            </w:r>
            <w:r>
              <w:rPr>
                <w:sz w:val="24"/>
                <w:szCs w:val="24"/>
              </w:rPr>
              <w:t xml:space="preserve">чания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77"/>
        </w:trPr>
        <w:tc>
          <w:tcPr>
            <w:tcW w:w="817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872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693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5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2244"/>
        </w:trPr>
        <w:tc>
          <w:tcPr>
            <w:tcW w:w="817" w:type="dxa"/>
            <w:vAlign w:val="center"/>
            <w:textDirection w:val="lrTb"/>
            <w:noWrap w:val="false"/>
          </w:tcPr>
          <w:p>
            <w:pPr>
              <w:pStyle w:val="1035"/>
              <w:numPr>
                <w:ilvl w:val="0"/>
                <w:numId w:val="3"/>
              </w:numPr>
              <w:jc w:val="center"/>
            </w:pPr>
            <w:r/>
            <w:r/>
          </w:p>
        </w:tc>
        <w:tc>
          <w:tcPr>
            <w:shd w:val="clear" w:color="auto" w:fill="auto"/>
            <w:tcW w:w="187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  <w:highlight w:val="white"/>
              </w:rPr>
              <w:t xml:space="preserve">К</w:t>
            </w:r>
            <w:r>
              <w:rPr>
                <w:sz w:val="24"/>
                <w:szCs w:val="24"/>
                <w:highlight w:val="white"/>
              </w:rPr>
              <w:t xml:space="preserve">отлоагрегат ТПЕ-214 СЗХЛ (Еп-670-13,8-545КТ)  ст. № 2 Нерюнгринской ГРЭС в пос. Серебряный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Б</w:t>
            </w:r>
            <w:r>
              <w:rPr>
                <w:sz w:val="24"/>
                <w:szCs w:val="24"/>
                <w:highlight w:val="white"/>
              </w:rPr>
              <w:t xml:space="preserve">о</w:t>
            </w:r>
            <w:r>
              <w:rPr>
                <w:sz w:val="24"/>
                <w:szCs w:val="24"/>
                <w:highlight w:val="white"/>
              </w:rPr>
              <w:t xml:space="preserve">р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69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СП «Нерюнгринская ГРЭС» АО «ДГК» Российская Федерация, Республика Саха (Якутия) Нерюнгринский район, пгт. Серебряный Бор, Нерюнгринская ГРЭС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Существующее основное средство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552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pPr>
        <w:pStyle w:val="840"/>
        <w:ind w:left="567" w:firstLine="0"/>
      </w:pPr>
      <w:r>
        <w:rPr>
          <w:b w:val="0"/>
          <w:bCs w:val="0"/>
        </w:rPr>
        <w:t xml:space="preserve"> </w:t>
      </w:r>
      <w:r>
        <w:t xml:space="preserve">Существующее положение дел</w:t>
      </w:r>
      <w:r/>
    </w:p>
    <w:p>
      <w:pPr>
        <w:pStyle w:val="840"/>
        <w:numPr>
          <w:ilvl w:val="0"/>
          <w:numId w:val="0"/>
        </w:numPr>
        <w:ind w:firstLine="567"/>
        <w:jc w:val="both"/>
      </w:pPr>
      <w:r>
        <w:rPr>
          <w:b w:val="0"/>
          <w:bCs w:val="0"/>
        </w:rPr>
        <w:t xml:space="preserve">Согласно плана-графика мероприятий по переводу Нерюнгринской ГРЭС на сжигание непроектных углей, было проведено опытное сжиг</w:t>
      </w:r>
      <w:r>
        <w:rPr>
          <w:b w:val="0"/>
          <w:bCs w:val="0"/>
        </w:rPr>
        <w:t xml:space="preserve">а</w:t>
      </w:r>
      <w:r>
        <w:rPr>
          <w:b w:val="0"/>
          <w:bCs w:val="0"/>
        </w:rPr>
        <w:t xml:space="preserve">ние в соответствии с утвержденной программой испытаний. Для выполнения рекомендаций АО «ХЭТК», изложенных в отчёте о научно-исследовательской работе, обеспечения возможности изменения топливного режима электростанции АО «ДГК» с использованием непроектного </w:t>
      </w:r>
      <w:r>
        <w:rPr>
          <w:b w:val="0"/>
          <w:bCs w:val="0"/>
        </w:rPr>
        <w:t xml:space="preserve">угля, в частности для сжигания каменного угля марки Ж ГОК «Инаглинский» в топках котлов ТПЕ-214 Нерюнгринской ГРЭС в чистом виде необходимо выполнить </w:t>
      </w:r>
      <w:r>
        <w:rPr>
          <w:b w:val="0"/>
          <w:bCs w:val="0"/>
        </w:rPr>
        <w:t xml:space="preserve">строительно-монтажных работ (включая поставку оборудования и материалов) по объекту: «Реконструкция системы пылеприготовления на котлоагрегате ТПЕ-214 СЗХЛ (Еп-670-13,8-545КТ)  ст. № 2 Нерюнгринской ГРЭС в пос. Серебряный бор Республика Саха (Яку</w:t>
      </w:r>
      <w:r>
        <w:rPr>
          <w:b w:val="0"/>
          <w:bCs w:val="0"/>
        </w:rPr>
        <w:t xml:space="preserve">тия)», в рамках реализации инвестиционного проекта Q_505-НГ-163</w:t>
      </w:r>
      <w:r>
        <w:rPr>
          <w:b w:val="0"/>
          <w:bCs w:val="0"/>
        </w:rPr>
        <w:t xml:space="preserve">.</w:t>
      </w:r>
      <w:r>
        <w:rPr>
          <w:b w:val="0"/>
          <w:bCs w:val="0"/>
        </w:rPr>
        <w:t xml:space="preserve"> </w:t>
      </w:r>
      <w:r>
        <w:rPr>
          <w:b w:val="0"/>
          <w:bCs w:val="0"/>
        </w:rPr>
        <w:t xml:space="preserve">Работы будут выполняться в период капитального ремонта энергоблока в 2026 году.</w:t>
      </w:r>
      <w:r>
        <w:rPr>
          <w:b w:val="0"/>
          <w:bCs w:val="0"/>
        </w:rPr>
      </w:r>
      <w:r/>
    </w:p>
    <w:p>
      <w:pPr>
        <w:pStyle w:val="840"/>
        <w:ind w:left="0" w:firstLine="567"/>
        <w:jc w:val="both"/>
      </w:pPr>
      <w:r/>
      <w:bookmarkStart w:id="7" w:name="_Toc46743509"/>
      <w:r/>
      <w:bookmarkStart w:id="8" w:name="_Hlk49857604"/>
      <w:r/>
      <w:bookmarkStart w:id="9" w:name="_Toc54646401"/>
      <w:r>
        <w:t xml:space="preserve">Информация в отношении исполнения договора, </w:t>
      </w:r>
      <w:bookmarkStart w:id="10" w:name="_Hlk46492347"/>
      <w:r>
        <w:t xml:space="preserve">которая должна быть учтена при подготовке заявки </w:t>
      </w:r>
      <w:bookmarkEnd w:id="10"/>
      <w:r>
        <w:t xml:space="preserve">(в том числе перечень ресурсов, услуг и документов, предоставляемых заказчиком на этапе исполнения договора)</w:t>
      </w:r>
      <w:bookmarkEnd w:id="7"/>
      <w:r/>
      <w:bookmarkEnd w:id="8"/>
      <w:r/>
      <w:bookmarkEnd w:id="9"/>
      <w:r/>
      <w:r/>
    </w:p>
    <w:p>
      <w:pPr>
        <w:pStyle w:val="840"/>
        <w:numPr>
          <w:ilvl w:val="0"/>
          <w:numId w:val="0"/>
        </w:numPr>
        <w:ind w:firstLine="567"/>
        <w:jc w:val="both"/>
        <w:rPr>
          <w:b w:val="0"/>
        </w:rPr>
      </w:pPr>
      <w:r>
        <w:rPr>
          <w:b w:val="0"/>
        </w:rPr>
        <w:t xml:space="preserve">При наличии технической возможности у Заказчика, Заказчик может обеспечить Подрядчику возможность подключения к имеющимся бытовым источникам электр</w:t>
      </w:r>
      <w:r>
        <w:rPr>
          <w:b w:val="0"/>
        </w:rPr>
        <w:t xml:space="preserve">оснабжения, водоснабжения, канализации для целей выполнения Работ по Договору.</w:t>
      </w:r>
      <w:r>
        <w:rPr>
          <w:b w:val="0"/>
        </w:rPr>
      </w:r>
      <w:r>
        <w:rPr>
          <w:b w:val="0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after="160" w:line="259" w:lineRule="auto"/>
        <w:rPr>
          <w:rFonts w:eastAsia="Calibri"/>
          <w:b/>
          <w:iCs/>
          <w:sz w:val="24"/>
          <w:szCs w:val="24"/>
        </w:rPr>
      </w:pPr>
      <w:r/>
      <w:bookmarkStart w:id="11" w:name="_Toc51339693"/>
      <w:r/>
      <w:bookmarkStart w:id="12" w:name="_Toc54646403"/>
      <w:r>
        <w:rPr>
          <w:iCs/>
          <w:sz w:val="24"/>
          <w:szCs w:val="24"/>
        </w:rPr>
        <w:br w:type="page" w:clear="all"/>
      </w:r>
      <w:r>
        <w:rPr>
          <w:rFonts w:eastAsia="Calibri"/>
          <w:b/>
          <w:iCs/>
          <w:sz w:val="24"/>
          <w:szCs w:val="24"/>
        </w:rPr>
      </w:r>
      <w:r>
        <w:rPr>
          <w:rFonts w:eastAsia="Calibri"/>
          <w:b/>
          <w:iCs/>
          <w:sz w:val="24"/>
          <w:szCs w:val="24"/>
        </w:rPr>
      </w:r>
    </w:p>
    <w:p>
      <w:pPr>
        <w:pStyle w:val="837"/>
        <w:ind w:left="0" w:firstLine="0"/>
        <w:jc w:val="center"/>
        <w:keepLines/>
        <w:rPr>
          <w:iCs/>
          <w:caps/>
          <w:sz w:val="24"/>
          <w:szCs w:val="24"/>
        </w:rPr>
      </w:pPr>
      <w:r>
        <w:rPr>
          <w:iCs/>
          <w:sz w:val="24"/>
          <w:szCs w:val="24"/>
        </w:rPr>
        <w:t xml:space="preserve">ТРЕБОВАНИЯ К ПРОДУКЦИИ</w:t>
      </w:r>
      <w:bookmarkEnd w:id="11"/>
      <w:r/>
      <w:bookmarkEnd w:id="12"/>
      <w:r>
        <w:rPr>
          <w:iCs/>
          <w:caps/>
          <w:sz w:val="24"/>
          <w:szCs w:val="24"/>
        </w:rPr>
      </w:r>
      <w:r>
        <w:rPr>
          <w:iCs/>
          <w:caps/>
          <w:sz w:val="24"/>
          <w:szCs w:val="24"/>
        </w:rPr>
      </w:r>
    </w:p>
    <w:p>
      <w:pPr>
        <w:pStyle w:val="840"/>
        <w:ind w:left="0" w:firstLine="567"/>
      </w:pPr>
      <w:r/>
      <w:bookmarkStart w:id="13" w:name="_Toc54646404"/>
      <w:r>
        <w:t xml:space="preserve">Требования к объемам и срокам выполнения работ</w:t>
      </w:r>
      <w:bookmarkEnd w:id="13"/>
      <w:r/>
      <w:r/>
    </w:p>
    <w:p>
      <w:pPr>
        <w:pStyle w:val="839"/>
        <w:ind w:hanging="657"/>
      </w:pPr>
      <w:r/>
      <w:bookmarkStart w:id="14" w:name="_Toc54646405"/>
      <w:r>
        <w:t xml:space="preserve">Требования к видам и объемам работ</w:t>
      </w:r>
      <w:bookmarkEnd w:id="14"/>
      <w:r/>
      <w:r/>
    </w:p>
    <w:p>
      <w:pPr>
        <w:pStyle w:val="837"/>
        <w:numPr>
          <w:ilvl w:val="0"/>
          <w:numId w:val="0"/>
        </w:numPr>
        <w:keepLines/>
        <w:spacing w:before="240"/>
        <w:rPr>
          <w:sz w:val="24"/>
          <w:szCs w:val="24"/>
        </w:rPr>
      </w:pPr>
      <w:r/>
      <w:bookmarkStart w:id="15" w:name="_Toc51339695"/>
      <w:r/>
      <w:bookmarkStart w:id="16" w:name="_Toc54646406"/>
      <w:r>
        <w:rPr>
          <w:sz w:val="24"/>
          <w:szCs w:val="24"/>
        </w:rPr>
        <w:t xml:space="preserve">Таблица 2. Перечень </w:t>
      </w:r>
      <w:bookmarkEnd w:id="15"/>
      <w:r>
        <w:rPr>
          <w:sz w:val="24"/>
          <w:szCs w:val="24"/>
        </w:rPr>
        <w:t xml:space="preserve">и объем выполняемых работ</w:t>
      </w:r>
      <w:bookmarkEnd w:id="16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81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4849"/>
        <w:gridCol w:w="1985"/>
      </w:tblGrid>
      <w:tr>
        <w:tblPrEx/>
        <w:trPr/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849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рабо</w:t>
            </w:r>
            <w:r>
              <w:rPr>
                <w:sz w:val="24"/>
                <w:szCs w:val="24"/>
              </w:rPr>
              <w:t xml:space="preserve">т / виды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jc w:val="center"/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Единица измерения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50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1"/>
              </w:numPr>
              <w:contextualSpacing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4849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  <w:highlight w:val="white"/>
              </w:rPr>
              <w:t xml:space="preserve">Выполнение строительно-монтажных работ (включая поставку оборудования и материалов) по объекту «Реконструкция системы пылеприготовления на котлоагрегате ТПЕ-214 СЗХЛ (Еп-670-13,8-545КТ)  ст. № 2 Нерюнгринской ГРЭС в пос. Серебряный бор Ре</w:t>
            </w:r>
            <w:r>
              <w:rPr>
                <w:sz w:val="24"/>
                <w:szCs w:val="24"/>
                <w:highlight w:val="white"/>
              </w:rPr>
              <w:t xml:space="preserve">спублика Саха (Якутия)» в рамках реализации инвестиционного проекта Q_505-НГ-163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В соответствии с Ведомостями объемов работ (приложение №2 к настоящим ТТ)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839"/>
      </w:pPr>
      <w:r/>
      <w:bookmarkStart w:id="17" w:name="_Toc51339696"/>
      <w:r/>
      <w:bookmarkStart w:id="18" w:name="_Toc54646407"/>
      <w:r>
        <w:t xml:space="preserve">Требования </w:t>
      </w:r>
      <w:bookmarkEnd w:id="17"/>
      <w:r>
        <w:t xml:space="preserve">к срокам выполнения работ</w:t>
      </w:r>
      <w:bookmarkEnd w:id="18"/>
      <w:r/>
      <w:r/>
    </w:p>
    <w:p>
      <w:pPr>
        <w:pStyle w:val="837"/>
        <w:numPr>
          <w:ilvl w:val="0"/>
          <w:numId w:val="0"/>
        </w:numPr>
        <w:keepLines/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Таблица 3. Требования по срокам выполнения работ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8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402"/>
        <w:gridCol w:w="2977"/>
        <w:gridCol w:w="2835"/>
      </w:tblGrid>
      <w:tr>
        <w:tblPrEx/>
        <w:trPr/>
        <w:tc>
          <w:tcPr>
            <w:shd w:val="clear" w:color="ffffff" w:fill="ffffff"/>
            <w:tcW w:w="67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W w:w="340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работ/ виды 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началу срока выполнения работ/ виды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окончанию срока выполнения работ / виды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675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 xml:space="preserve">1</w:t>
            </w:r>
            <w:r>
              <w:rPr>
                <w:sz w:val="24"/>
                <w:szCs w:val="24"/>
                <w:lang w:val="en-US"/>
              </w:rPr>
            </w:r>
            <w:r>
              <w:rPr>
                <w:sz w:val="24"/>
                <w:szCs w:val="24"/>
                <w:lang w:val="en-US"/>
              </w:rPr>
            </w:r>
          </w:p>
        </w:tc>
        <w:tc>
          <w:tcPr>
            <w:shd w:val="clear" w:color="ffffff" w:fill="ffffff"/>
            <w:tcW w:w="3402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77" w:type="dxa"/>
            <w:textDirection w:val="lrTb"/>
            <w:noWrap w:val="false"/>
          </w:tcPr>
          <w:p>
            <w:pPr>
              <w:pStyle w:val="1037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pStyle w:val="1037"/>
              <w:jc w:val="center"/>
              <w:keepNext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675" w:type="dxa"/>
            <w:vAlign w:val="center"/>
            <w:textDirection w:val="lrTb"/>
            <w:noWrap w:val="false"/>
          </w:tcPr>
          <w:p>
            <w:pPr>
              <w:pStyle w:val="1035"/>
              <w:numPr>
                <w:ilvl w:val="0"/>
                <w:numId w:val="16"/>
              </w:numPr>
              <w:jc w:val="center"/>
            </w:pPr>
            <w:r/>
            <w:r/>
          </w:p>
        </w:tc>
        <w:tc>
          <w:tcPr>
            <w:tcW w:w="3402" w:type="dxa"/>
            <w:textDirection w:val="lrTb"/>
            <w:noWrap w:val="false"/>
          </w:tcPr>
          <w:p>
            <w:pPr>
              <w:tabs>
                <w:tab w:val="left" w:pos="1260" w:leader="none"/>
              </w:tabs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В</w:t>
            </w:r>
            <w:r>
              <w:rPr>
                <w:sz w:val="24"/>
                <w:szCs w:val="24"/>
              </w:rPr>
              <w:t xml:space="preserve">ыполнение строительно-монтажных работ (включая поставку оборудования и материалов) по объекту «Реконструкция системы пылеприготовления на котлоагрегате ТПЕ-214 СЗХЛ (Еп-670-13,8-545КТ)  ст. № 2 Нерюнгринской ГРЭС в пос. Серебряный бор Республика Саха (Якут</w:t>
            </w:r>
            <w:r>
              <w:rPr>
                <w:sz w:val="24"/>
                <w:szCs w:val="24"/>
              </w:rPr>
              <w:t xml:space="preserve">ия)» в рамках реализации инвестиционного проекта Q_505-НГ-163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tcW w:w="297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 даты, следующей за датой заключения договора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835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bCs/>
                <w:color w:val="000000" w:themeColor="text1"/>
                <w:sz w:val="24"/>
                <w:szCs w:val="24"/>
                <w:highlight w:val="white"/>
              </w:rPr>
              <w:t xml:space="preserve">01 сентября 2026 года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r/>
      <w:r/>
    </w:p>
    <w:p>
      <w:r/>
      <w:r/>
    </w:p>
    <w:p>
      <w:pPr>
        <w:keepLines/>
        <w:keepNext/>
        <w:spacing w:before="240" w:after="60"/>
        <w:rPr>
          <w:rFonts w:eastAsia="Calibri"/>
          <w:b/>
          <w:sz w:val="24"/>
          <w:szCs w:val="24"/>
        </w:rPr>
        <w:sectPr>
          <w:footnotePr/>
          <w:endnotePr/>
          <w:type w:val="nextPage"/>
          <w:pgSz w:w="11906" w:h="16838" w:orient="portrait"/>
          <w:pgMar w:top="993" w:right="849" w:bottom="992" w:left="1134" w:header="709" w:footer="709" w:gutter="0"/>
          <w:cols w:num="1" w:sep="0" w:space="708" w:equalWidth="1"/>
          <w:docGrid w:linePitch="360"/>
          <w:titlePg/>
        </w:sectPr>
        <w:outlineLvl w:val="0"/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pStyle w:val="840"/>
      </w:pPr>
      <w:r>
        <w:t xml:space="preserve">Требования к качеству работ</w:t>
      </w:r>
      <w:r/>
    </w:p>
    <w:p>
      <w:pPr>
        <w:pStyle w:val="837"/>
        <w:numPr>
          <w:ilvl w:val="0"/>
          <w:numId w:val="0"/>
        </w:numPr>
        <w:keepLines/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Таблица 4. Требования к качеству работ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after="120"/>
        <w:rPr>
          <w:rStyle w:val="1039"/>
          <w:b w:val="0"/>
          <w:iCs/>
          <w:sz w:val="24"/>
          <w:szCs w:val="24"/>
        </w:rPr>
      </w:pPr>
      <w:r>
        <w:rPr>
          <w:b/>
          <w:bCs/>
          <w:sz w:val="24"/>
          <w:szCs w:val="24"/>
        </w:rPr>
        <w:t xml:space="preserve">Наименование работ/этапа работ (позиция №1 Таблицы 2): </w:t>
      </w:r>
      <w:r>
        <w:rPr>
          <w:sz w:val="24"/>
          <w:szCs w:val="24"/>
          <w:highlight w:val="white"/>
        </w:rPr>
        <w:t xml:space="preserve">О</w:t>
      </w:r>
      <w:r>
        <w:rPr>
          <w:sz w:val="24"/>
          <w:szCs w:val="24"/>
          <w:highlight w:val="white"/>
        </w:rPr>
        <w:t xml:space="preserve">КПД2 43.99.90.190 Выполнение строительно-монтажных работ (включая поставку оборудования и материалов) по объекту «Реконструкция системы пылеприготовления на котлоагрегате ТПЕ-214 СЗХЛ (Еп-670-13,8-545КТ)  ст. № 2 Нерюнгринской ГРЭС в пос. Серебряный бор Ре</w:t>
      </w:r>
      <w:r>
        <w:rPr>
          <w:sz w:val="24"/>
          <w:szCs w:val="24"/>
          <w:highlight w:val="white"/>
        </w:rPr>
        <w:t xml:space="preserve">спублика Саха (Якутия)» в рамках реализации инвестиционного проекта Q_505-НГ-163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  <w:t xml:space="preserve"> </w:t>
      </w:r>
      <w:r>
        <w:rPr>
          <w:rStyle w:val="1039"/>
          <w:b w:val="0"/>
          <w:iCs/>
          <w:sz w:val="24"/>
          <w:szCs w:val="24"/>
        </w:rPr>
      </w:r>
      <w:r>
        <w:rPr>
          <w:rStyle w:val="1039"/>
          <w:b w:val="0"/>
          <w:iCs/>
          <w:sz w:val="24"/>
          <w:szCs w:val="24"/>
        </w:rPr>
      </w:r>
    </w:p>
    <w:tbl>
      <w:tblPr>
        <w:tblStyle w:val="1029"/>
        <w:tblW w:w="15989" w:type="dxa"/>
        <w:tblInd w:w="-592" w:type="dxa"/>
        <w:tblLayout w:type="fixed"/>
        <w:tblLook w:val="04A0" w:firstRow="1" w:lastRow="0" w:firstColumn="1" w:lastColumn="0" w:noHBand="0" w:noVBand="1"/>
      </w:tblPr>
      <w:tblGrid>
        <w:gridCol w:w="864"/>
        <w:gridCol w:w="10596"/>
        <w:gridCol w:w="2120"/>
        <w:gridCol w:w="2409"/>
      </w:tblGrid>
      <w:tr>
        <w:tblPrEx/>
        <w:trPr/>
        <w:tc>
          <w:tcPr>
            <w:tcW w:w="864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п/п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059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Требование заказчика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W w:w="452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864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0596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12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864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059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2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64" w:type="dxa"/>
            <w:vAlign w:val="center"/>
            <w:textDirection w:val="lrTb"/>
            <w:noWrap w:val="false"/>
          </w:tcPr>
          <w:p>
            <w:pPr>
              <w:pStyle w:val="1035"/>
              <w:numPr>
                <w:ilvl w:val="0"/>
                <w:numId w:val="2"/>
              </w:numPr>
              <w:jc w:val="center"/>
              <w:spacing w:before="60" w:after="60"/>
            </w:pPr>
            <w:r/>
            <w:r/>
          </w:p>
        </w:tc>
        <w:tc>
          <w:tcPr>
            <w:tcW w:w="10596" w:type="dxa"/>
            <w:vAlign w:val="center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выполнению работ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2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64" w:type="dxa"/>
            <w:vAlign w:val="center"/>
            <w:textDirection w:val="lrTb"/>
            <w:noWrap w:val="false"/>
          </w:tcPr>
          <w:p>
            <w:pPr>
              <w:pStyle w:val="1035"/>
              <w:numPr>
                <w:ilvl w:val="1"/>
                <w:numId w:val="2"/>
              </w:numPr>
              <w:ind w:left="-117" w:firstLine="142"/>
              <w:jc w:val="center"/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W w:w="10596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Общие требования к выполнению работ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20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4"/>
            <w:tcW w:w="1598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Строительно-монтажные работы.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864" w:type="dxa"/>
            <w:vAlign w:val="center"/>
            <w:textDirection w:val="lrTb"/>
            <w:noWrap w:val="false"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1.1.1.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W w:w="10596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highlight w:val="none"/>
              </w:rPr>
            </w:pPr>
            <w:r>
              <w:rPr>
                <w:bCs/>
                <w:sz w:val="24"/>
                <w:szCs w:val="24"/>
                <w:highlight w:val="none"/>
              </w:rPr>
            </w:r>
            <w:r>
              <w:rPr>
                <w:rFonts w:eastAsia="Calibri"/>
                <w:sz w:val="24"/>
                <w:szCs w:val="24"/>
                <w:highlight w:val="none"/>
              </w:rPr>
              <w:t xml:space="preserve">Работы должны быть выполнены в соответствии с РД по шифру </w:t>
            </w:r>
            <w:r>
              <w:rPr>
                <w:rFonts w:eastAsia="Calibri"/>
                <w:sz w:val="24"/>
                <w:szCs w:val="24"/>
                <w:highlight w:val="none"/>
              </w:rPr>
              <w:t xml:space="preserve">ЭИ 25-18-ПИР</w:t>
            </w:r>
            <w:r>
              <w:rPr>
                <w:rFonts w:eastAsia="Calibri"/>
                <w:sz w:val="24"/>
                <w:szCs w:val="24"/>
                <w:highlight w:val="none"/>
              </w:rPr>
              <w:t xml:space="preserve"> (приложение № 3 к ТТ), техническим заданием (приложение № 1 к договору подряда), утвержденным сторонами графиком выполнения </w:t>
            </w:r>
            <w:r>
              <w:rPr>
                <w:rFonts w:eastAsia="Calibri"/>
                <w:sz w:val="24"/>
                <w:szCs w:val="24"/>
                <w:highlight w:val="none"/>
              </w:rPr>
              <w:t xml:space="preserve"> </w:t>
            </w:r>
            <w:r>
              <w:rPr>
                <w:rFonts w:eastAsia="Calibri"/>
                <w:sz w:val="24"/>
                <w:szCs w:val="24"/>
                <w:highlight w:val="none"/>
              </w:rPr>
              <w:t xml:space="preserve">работ (приложение № 2 к договору подряда), разработанным Подрядчиком и согласованным Заказчиком (до начала производства работ) проектом производства работ, действующими регламентами и нормативно-технической документацией (НТД) и требованиями договора подря</w:t>
            </w:r>
            <w:r>
              <w:rPr>
                <w:rFonts w:eastAsia="Calibri"/>
                <w:sz w:val="24"/>
                <w:szCs w:val="24"/>
                <w:highlight w:val="none"/>
              </w:rPr>
              <w:t xml:space="preserve">да, являющегося неотъемлемой частью Документации о закупке.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  <w:t xml:space="preserve">завод</w:t>
            </w:r>
            <w:r>
              <w:rPr>
                <w:bCs/>
                <w:sz w:val="24"/>
                <w:szCs w:val="24"/>
              </w:rPr>
              <w:t xml:space="preserve">скими инструкциями по монтажу и эксплуатации оборудования.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2120" w:type="dxa"/>
            <w:vAlign w:val="center"/>
            <w:vMerge w:val="restart"/>
            <w:textDirection w:val="lrTb"/>
            <w:noWrap w:val="false"/>
          </w:tcPr>
          <w:p>
            <w:r/>
            <w:r/>
            <w:r>
              <w:rPr>
                <w:sz w:val="22"/>
                <w:szCs w:val="22"/>
              </w:rPr>
              <w:t xml:space="preserve">Участник должен предоставить в заявке согласие выполнить работы (оказать услуги),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  <w:r/>
            <w:r/>
            <w:r/>
          </w:p>
        </w:tc>
        <w:tc>
          <w:tcPr>
            <w:shd w:val="clear" w:color="auto" w:fill="auto"/>
            <w:tcW w:w="2409" w:type="dxa"/>
            <w:vAlign w:val="center"/>
            <w:textDirection w:val="lrTb"/>
            <w:noWrap w:val="false"/>
          </w:tcPr>
          <w:p>
            <w:pPr>
              <w:pStyle w:val="1036"/>
              <w:keepNext w:val="0"/>
              <w:spacing w:before="0"/>
              <w:rPr>
                <w:rFonts w:eastAsia="Times New Roman"/>
              </w:rPr>
              <w:outlineLvl w:val="2"/>
            </w:pP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</w:tc>
      </w:tr>
      <w:tr>
        <w:tblPrEx/>
        <w:trPr/>
        <w:tc>
          <w:tcPr>
            <w:tcW w:w="864" w:type="dxa"/>
            <w:vAlign w:val="center"/>
            <w:textDirection w:val="lrTb"/>
            <w:noWrap w:val="false"/>
          </w:tcPr>
          <w:p>
            <w:pPr>
              <w:pStyle w:val="1035"/>
              <w:numPr>
                <w:ilvl w:val="1"/>
                <w:numId w:val="2"/>
              </w:numPr>
              <w:ind w:left="-117" w:firstLine="142"/>
              <w:jc w:val="center"/>
              <w:spacing w:before="60" w:after="60"/>
            </w:pPr>
            <w:r/>
            <w:r/>
          </w:p>
        </w:tc>
        <w:tc>
          <w:tcPr>
            <w:tcW w:w="10596" w:type="dxa"/>
            <w:vAlign w:val="center"/>
            <w:textDirection w:val="lrTb"/>
            <w:noWrap w:val="false"/>
          </w:tcPr>
          <w:p>
            <w:pPr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организации работ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20" w:type="dxa"/>
            <w:vAlign w:val="center"/>
            <w:vMerge w:val="continue"/>
            <w:textDirection w:val="lrTb"/>
            <w:noWrap w:val="false"/>
          </w:tcPr>
          <w:p>
            <w:r/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64" w:type="dxa"/>
            <w:vAlign w:val="center"/>
            <w:textDirection w:val="lrTb"/>
            <w:noWrap w:val="false"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1.2.1.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0596" w:type="dxa"/>
            <w:vAlign w:val="center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Разработка и согласование проекта производства работ (ППР).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20" w:type="dxa"/>
            <w:vAlign w:val="center"/>
            <w:vMerge w:val="continue"/>
            <w:textDirection w:val="lrTb"/>
            <w:noWrap w:val="false"/>
          </w:tcPr>
          <w:p>
            <w:r/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1036"/>
              <w:keepNext w:val="0"/>
              <w:rPr>
                <w:rFonts w:eastAsia="Times New Roman"/>
                <w:b w:val="0"/>
              </w:rPr>
              <w:outlineLvl w:val="2"/>
            </w:pPr>
            <w:r>
              <w:rPr>
                <w:rFonts w:eastAsia="Times New Roman"/>
                <w:b w:val="0"/>
                <w:lang w:val="en-US"/>
              </w:rPr>
              <w:t xml:space="preserve">-</w:t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</w:r>
          </w:p>
        </w:tc>
      </w:tr>
      <w:tr>
        <w:tblPrEx/>
        <w:trPr/>
        <w:tc>
          <w:tcPr>
            <w:tcW w:w="864" w:type="dxa"/>
            <w:vAlign w:val="center"/>
            <w:textDirection w:val="lrTb"/>
            <w:noWrap w:val="false"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1.2.2.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0596" w:type="dxa"/>
            <w:textDirection w:val="lrTb"/>
            <w:noWrap w:val="false"/>
          </w:tcPr>
          <w:p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Предоставить контакты и должность представителей Подрядчика, уполномоченных на оперативное рассмотрение и решение технических и организационных вопросов, связанных с выполнением Работ. 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120" w:type="dxa"/>
            <w:vAlign w:val="center"/>
            <w:vMerge w:val="continue"/>
            <w:textDirection w:val="lrTb"/>
            <w:noWrap w:val="false"/>
          </w:tcPr>
          <w:p>
            <w:r/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1036"/>
              <w:keepNext w:val="0"/>
              <w:rPr>
                <w:rFonts w:eastAsia="Times New Roman"/>
                <w:b w:val="0"/>
              </w:rPr>
              <w:outlineLvl w:val="2"/>
            </w:pPr>
            <w:r>
              <w:rPr>
                <w:rFonts w:eastAsia="Times New Roman"/>
                <w:b w:val="0"/>
                <w:lang w:val="en-US"/>
              </w:rPr>
              <w:t xml:space="preserve">-</w:t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</w:r>
          </w:p>
        </w:tc>
      </w:tr>
      <w:tr>
        <w:tblPrEx/>
        <w:trPr/>
        <w:tc>
          <w:tcPr>
            <w:tcW w:w="864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1.2.3.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0596" w:type="dxa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Предоставить контакты и должность представителя Подрядчика, ответственного за соблюдение норм и правил в области охраны труда, электробезопасности, пожарной и промышленной безопасности, природоохранного законодательства в месте производства Работ. Подрядчи</w:t>
            </w:r>
            <w:r>
              <w:rPr>
                <w:bCs/>
                <w:sz w:val="24"/>
                <w:szCs w:val="24"/>
              </w:rPr>
              <w:t xml:space="preserve">к обязан обеспечить присутствие указанного лица в месте производства Работ в течение всего срока их выполнения.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0" w:type="dxa"/>
            <w:vAlign w:val="center"/>
            <w:vMerge w:val="continue"/>
            <w:textDirection w:val="lrTb"/>
            <w:noWrap w:val="false"/>
          </w:tcPr>
          <w:p>
            <w:r/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1036"/>
              <w:keepNext w:val="0"/>
              <w:rPr>
                <w:rFonts w:eastAsia="Times New Roman"/>
                <w:b w:val="0"/>
              </w:rPr>
              <w:outlineLvl w:val="2"/>
            </w:pPr>
            <w:r>
              <w:rPr>
                <w:rFonts w:eastAsia="Times New Roman"/>
                <w:b w:val="0"/>
              </w:rPr>
              <w:t xml:space="preserve">-</w:t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</w:r>
          </w:p>
          <w:p>
            <w:pPr>
              <w:pStyle w:val="1036"/>
              <w:keepNext w:val="0"/>
              <w:rPr>
                <w:rFonts w:eastAsia="Times New Roman"/>
                <w:b w:val="0"/>
              </w:rPr>
              <w:outlineLvl w:val="2"/>
            </w:pP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</w:r>
          </w:p>
        </w:tc>
      </w:tr>
      <w:tr>
        <w:tblPrEx/>
        <w:trPr/>
        <w:tc>
          <w:tcPr>
            <w:tcW w:w="864" w:type="dxa"/>
            <w:vAlign w:val="center"/>
            <w:textDirection w:val="lrTb"/>
            <w:noWrap w:val="false"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1.2.4.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0596" w:type="dxa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Осуществлять мероприятия строительного контроля, возложенные на Подрядчика Положением о проведении строительн</w:t>
            </w:r>
            <w:r>
              <w:rPr>
                <w:bCs/>
                <w:sz w:val="24"/>
                <w:szCs w:val="24"/>
              </w:rPr>
              <w:t xml:space="preserve">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468.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2120" w:type="dxa"/>
            <w:vAlign w:val="center"/>
            <w:vMerge w:val="continue"/>
            <w:textDirection w:val="lrTb"/>
            <w:noWrap w:val="false"/>
          </w:tcPr>
          <w:p>
            <w:r/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1036"/>
              <w:keepNext w:val="0"/>
              <w:rPr>
                <w:rFonts w:eastAsia="Times New Roman"/>
                <w:b w:val="0"/>
              </w:rPr>
              <w:outlineLvl w:val="2"/>
            </w:pPr>
            <w:r>
              <w:rPr>
                <w:rFonts w:eastAsia="Times New Roman"/>
                <w:b w:val="0"/>
              </w:rPr>
              <w:t xml:space="preserve">-</w:t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</w:r>
          </w:p>
          <w:p>
            <w:pPr>
              <w:pStyle w:val="1036"/>
              <w:keepNext w:val="0"/>
              <w:rPr>
                <w:rFonts w:eastAsia="Times New Roman"/>
                <w:b w:val="0"/>
              </w:rPr>
              <w:outlineLvl w:val="2"/>
            </w:pP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</w:r>
          </w:p>
        </w:tc>
      </w:tr>
      <w:tr>
        <w:tblPrEx/>
        <w:trPr/>
        <w:tc>
          <w:tcPr>
            <w:tcW w:w="864" w:type="dxa"/>
            <w:vAlign w:val="center"/>
            <w:vMerge w:val="restart"/>
            <w:textDirection w:val="lrTb"/>
            <w:noWrap w:val="false"/>
          </w:tcPr>
          <w:p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1.2.5.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W w:w="10596" w:type="dxa"/>
            <w:vMerge w:val="restart"/>
            <w:textDirection w:val="lrTb"/>
            <w:noWrap w:val="false"/>
          </w:tcPr>
          <w:p>
            <w:pPr>
              <w:ind w:right="168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Организационно-технические мероприятия по допуску персонала подрядчика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right="16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Допуск персонала подрядчика для выполнения работ должен осуществляться в соответствии с </w:t>
            </w:r>
            <w:commentRangeStart w:id="0"/>
            <w:commentRangeStart w:id="1"/>
            <w:r>
              <w:rPr>
                <w:sz w:val="24"/>
                <w:szCs w:val="24"/>
              </w:rPr>
              <w:t xml:space="preserve">Положением о допуске персонала подрядных организаций к выполнению работ на объектах АО «ДГК» </w:t>
            </w:r>
            <w:commentRangeEnd w:id="0"/>
            <w:commentRangeEnd w:id="1"/>
            <w:r>
              <w:commentReference w:id="0"/>
              <w:commentReference w:id="1"/>
            </w:r>
            <w:r>
              <w:rPr>
                <w:bCs/>
                <w:sz w:val="24"/>
                <w:szCs w:val="24"/>
              </w:rPr>
              <w:t xml:space="preserve">(приложении  № 4 к настоящему ТТ),</w:t>
            </w:r>
            <w:r>
              <w:t xml:space="preserve"> </w:t>
            </w:r>
            <w:r>
              <w:rPr>
                <w:sz w:val="24"/>
                <w:szCs w:val="24"/>
              </w:rPr>
              <w:t xml:space="preserve">с обязательным оформ</w:t>
            </w:r>
            <w:r>
              <w:rPr>
                <w:sz w:val="24"/>
                <w:szCs w:val="24"/>
              </w:rPr>
              <w:t xml:space="preserve">лением необходимых нарядов-допусков.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right="168"/>
              <w:jc w:val="both"/>
              <w:spacing w:before="6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Подготовку рабочих мест и допуск к выполнению работ выполняет персонал заказчика.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0" w:type="dxa"/>
            <w:vAlign w:val="center"/>
            <w:vMerge w:val="continue"/>
            <w:textDirection w:val="lrTb"/>
            <w:noWrap w:val="false"/>
          </w:tcPr>
          <w:p>
            <w:r/>
          </w:p>
        </w:tc>
        <w:tc>
          <w:tcPr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pStyle w:val="1036"/>
              <w:keepNext w:val="0"/>
              <w:rPr>
                <w:rFonts w:eastAsia="Times New Roman"/>
                <w:b w:val="0"/>
              </w:rPr>
              <w:outlineLvl w:val="2"/>
            </w:pP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</w:r>
          </w:p>
        </w:tc>
      </w:tr>
      <w:tr>
        <w:tblPrEx/>
        <w:trPr/>
        <w:tc>
          <w:tcPr>
            <w:tcW w:w="864" w:type="dxa"/>
            <w:vAlign w:val="center"/>
            <w:textDirection w:val="lrTb"/>
            <w:noWrap w:val="false"/>
          </w:tcPr>
          <w:p>
            <w:pPr>
              <w:pStyle w:val="1035"/>
              <w:numPr>
                <w:ilvl w:val="1"/>
                <w:numId w:val="2"/>
              </w:numPr>
              <w:ind w:left="-117" w:firstLine="142"/>
              <w:jc w:val="center"/>
              <w:spacing w:before="60" w:after="60"/>
            </w:pPr>
            <w:r/>
            <w:r/>
          </w:p>
        </w:tc>
        <w:tc>
          <w:tcPr>
            <w:tcW w:w="10596" w:type="dxa"/>
            <w:vAlign w:val="center"/>
            <w:textDirection w:val="lrTb"/>
            <w:noWrap w:val="false"/>
          </w:tcPr>
          <w:p>
            <w:pPr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применяемым при выполнении работ оборудованию, материалам, технологиям, программно-аппаратным средствам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20" w:type="dxa"/>
            <w:vAlign w:val="center"/>
            <w:vMerge w:val="continue"/>
            <w:textDirection w:val="lrTb"/>
            <w:noWrap w:val="false"/>
          </w:tcPr>
          <w:p>
            <w:r/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864" w:type="dxa"/>
            <w:vAlign w:val="center"/>
            <w:vMerge w:val="restart"/>
            <w:textDirection w:val="lrTb"/>
            <w:noWrap w:val="false"/>
          </w:tcPr>
          <w:p>
            <w:pPr>
              <w:pStyle w:val="1035"/>
              <w:ind w:left="25"/>
              <w:spacing w:before="60" w:after="60"/>
            </w:pPr>
            <w:r>
              <w:t xml:space="preserve">1.3.1.</w:t>
            </w:r>
            <w:r/>
          </w:p>
        </w:tc>
        <w:tc>
          <w:tcPr>
            <w:tcW w:w="10596" w:type="dxa"/>
            <w:vAlign w:val="center"/>
            <w:textDirection w:val="lrTb"/>
            <w:noWrap w:val="false"/>
          </w:tcPr>
          <w:p>
            <w:pPr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оборудованию и материалам поставки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20" w:type="dxa"/>
            <w:vAlign w:val="center"/>
            <w:vMerge w:val="continue"/>
            <w:textDirection w:val="lrTb"/>
            <w:noWrap w:val="false"/>
          </w:tcPr>
          <w:p>
            <w:r/>
          </w:p>
        </w:tc>
        <w:tc>
          <w:tcPr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jc w:val="center"/>
              <w:spacing w:before="6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36"/>
              <w:rPr>
                <w:b w:val="0"/>
              </w:rPr>
              <w:outlineLvl w:val="2"/>
            </w:pPr>
            <w:r>
              <w:rPr>
                <w:b w:val="0"/>
              </w:rPr>
            </w:r>
            <w:r>
              <w:rPr>
                <w:b w:val="0"/>
              </w:rPr>
            </w:r>
            <w:r>
              <w:rPr>
                <w:b w:val="0"/>
              </w:rPr>
            </w:r>
          </w:p>
        </w:tc>
      </w:tr>
      <w:tr>
        <w:tblPrEx/>
        <w:trPr/>
        <w:tc>
          <w:tcPr>
            <w:tcW w:w="864" w:type="dxa"/>
            <w:vAlign w:val="center"/>
            <w:vMerge w:val="continue"/>
            <w:textDirection w:val="lrTb"/>
            <w:noWrap w:val="false"/>
          </w:tcPr>
          <w:p>
            <w:pPr>
              <w:ind w:left="720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0596" w:type="dxa"/>
            <w:textDirection w:val="lrTb"/>
            <w:noWrap w:val="false"/>
          </w:tcPr>
          <w:p>
            <w:pPr>
              <w:pStyle w:val="1035"/>
              <w:numPr>
                <w:ilvl w:val="0"/>
                <w:numId w:val="10"/>
              </w:numPr>
              <w:ind w:left="0" w:firstLine="0"/>
              <w:jc w:val="both"/>
              <w:rPr>
                <w:highlight w:val="white"/>
              </w:rPr>
            </w:pPr>
            <w:r>
              <w:t xml:space="preserve">Материалы и оборудование, необходимые для выполнения работ, приобретаются подрядчиком самостоятельно, согласно ведомости материалов и оборудования поставки Подрядчика со спецификацией закупаемой продукции (Приложение №5 к настоящему ТТ) и согласовывается </w:t>
            </w:r>
            <w:r>
              <w:t xml:space="preserve">с Заказчиком.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035"/>
              <w:numPr>
                <w:ilvl w:val="0"/>
                <w:numId w:val="10"/>
              </w:numPr>
              <w:ind w:left="0" w:firstLine="0"/>
              <w:jc w:val="both"/>
              <w:rPr>
                <w:highlight w:val="white"/>
              </w:rPr>
            </w:pPr>
            <w:r>
              <w:rPr>
                <w:highlight w:val="white"/>
              </w:rPr>
              <w:t xml:space="preserve">В составе з</w:t>
            </w:r>
            <w:r>
              <w:rPr>
                <w:highlight w:val="white"/>
              </w:rPr>
              <w:t xml:space="preserve">аявки необходимо представить: Документы и информацию, подтверждающие страну происхождения </w:t>
            </w:r>
            <w:r>
              <w:rPr>
                <w:highlight w:val="white"/>
              </w:rPr>
              <w:t xml:space="preserve">оборудования</w:t>
            </w:r>
            <w:r>
              <w:rPr>
                <w:highlight w:val="white"/>
              </w:rPr>
              <w:t xml:space="preserve">/материалов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t xml:space="preserve">в соответствии с требованиями Постановления Правительства Российской Федерации от 23.12.2024 № 1875 «О мерах по предоставлению национального режима при осущест</w:t>
            </w:r>
            <w:r>
              <w:rPr>
                <w:highlight w:val="white"/>
              </w:rPr>
              <w:t xml:space="preserve">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035"/>
              <w:numPr>
                <w:ilvl w:val="0"/>
                <w:numId w:val="10"/>
              </w:numPr>
              <w:ind w:left="0" w:firstLine="0"/>
              <w:jc w:val="both"/>
            </w:pPr>
            <w:r>
              <w:rPr>
                <w:highlight w:val="white"/>
              </w:rPr>
              <w:t xml:space="preserve">Материалы и оборудование, необходимые для выполнения работ, приобрет</w:t>
            </w:r>
            <w:r>
              <w:t xml:space="preserve">аются подрядчиком самостоятельн</w:t>
            </w:r>
            <w:r>
              <w:t xml:space="preserve">о, согласно ведомости объемов работ </w:t>
            </w:r>
            <w:r>
              <w:t xml:space="preserve">и </w:t>
            </w:r>
            <w:r>
              <w:t xml:space="preserve">со спецификацией закупаемой продукции.</w:t>
            </w:r>
            <w:r/>
          </w:p>
          <w:p>
            <w:pPr>
              <w:pStyle w:val="1035"/>
              <w:numPr>
                <w:ilvl w:val="0"/>
                <w:numId w:val="10"/>
              </w:numPr>
              <w:ind w:left="0" w:firstLine="0"/>
              <w:jc w:val="both"/>
            </w:pPr>
            <w:r>
              <w:t xml:space="preserve">Материалы поставки Подрядчика должны быть новыми (выпуска не ранее 2023 года) и ранее не использованными, без повр</w:t>
            </w:r>
            <w:r>
              <w:t xml:space="preserve">еждений, сертифицированы в установленном порядке и иметь сертификаты соответствия, качества, безопасности, паспорта, санитарно-эпидемиологические заключения и гигиенические заключения, разрешения на применение, обязательные документы, имеющие отношение к М</w:t>
            </w:r>
            <w:r>
              <w:t xml:space="preserve">атериалам, при их наличии. Подрядчик обязан представить Заказчику все копии сертификатов, заключений, разрешений.</w:t>
            </w:r>
            <w:r/>
          </w:p>
          <w:p>
            <w:pPr>
              <w:pStyle w:val="1035"/>
              <w:numPr>
                <w:ilvl w:val="0"/>
                <w:numId w:val="10"/>
              </w:numPr>
              <w:ind w:left="0" w:firstLine="0"/>
              <w:jc w:val="both"/>
            </w:pPr>
            <w:r>
              <w:t xml:space="preserve">При проведении работ должны использоваться сертифицированные материалы на основании федеральных законов РФ №184-ФЗ от 27.12.2002 «О техническо</w:t>
            </w:r>
            <w:r>
              <w:t xml:space="preserve">м регулировании» и №123-ФЗ от 22.07.2008 «Технический регламент о требованиях пожарной безопасности».</w:t>
            </w:r>
            <w:r/>
          </w:p>
          <w:p>
            <w:pPr>
              <w:pStyle w:val="1035"/>
              <w:numPr>
                <w:ilvl w:val="0"/>
                <w:numId w:val="10"/>
              </w:numPr>
              <w:ind w:left="0" w:firstLine="0"/>
              <w:jc w:val="both"/>
            </w:pPr>
            <w:r>
              <w:t xml:space="preserve">Материалы поставки Подрядчика должны быть поставлены в упаковке производителя, не нарушенной, без следов воздействия влаги. Упаковка и/или тара должна обе</w:t>
            </w:r>
            <w:r>
              <w:t xml:space="preserve">спечивать их полную сохранность от всякого рода перегрузок, повреждений при перевозке любыми видами транспорта, длительного хранения, а также предохранять поставляемые материалы от внешних воздействий, </w:t>
            </w:r>
            <w:r>
              <w:t xml:space="preserve">обеспечивать их сохранность при проведении погрузо-раз</w:t>
            </w:r>
            <w:r>
              <w:t xml:space="preserve">грузочных работ вручную или механизированными средствами.</w:t>
            </w:r>
            <w:r/>
          </w:p>
          <w:p>
            <w:pPr>
              <w:pStyle w:val="1035"/>
              <w:numPr>
                <w:ilvl w:val="0"/>
                <w:numId w:val="18"/>
              </w:numPr>
              <w:ind w:left="0" w:right="0" w:firstLine="0"/>
              <w:jc w:val="both"/>
            </w:pPr>
            <w:r>
              <w:t xml:space="preserve">При закупке </w:t>
            </w:r>
            <w:r>
              <w:t xml:space="preserve">материалов</w:t>
            </w:r>
            <w:r>
              <w:t xml:space="preserve"> для </w:t>
            </w:r>
            <w:r>
              <w:t xml:space="preserve">строительно-монтажных </w:t>
            </w:r>
            <w:r>
              <w:t xml:space="preserve">работ применять Постановление Правительства Российской Федерации от 23.12.2024 </w:t>
            </w:r>
            <w:r>
              <w:t xml:space="preserve">№</w:t>
            </w:r>
            <w:bookmarkStart w:id="0" w:name="undefined"/>
            <w:r/>
            <w:bookmarkEnd w:id="0"/>
            <w:r>
              <w:t xml:space="preserve">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      </w:r>
            <w:r>
              <w:t xml:space="preserve">.</w:t>
            </w:r>
            <w:r>
              <w:rPr>
                <w:highlight w:val="none"/>
              </w:rPr>
            </w:r>
            <w:r/>
          </w:p>
          <w:p>
            <w:pPr>
              <w:pStyle w:val="1033"/>
              <w:numPr>
                <w:ilvl w:val="0"/>
                <w:numId w:val="10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Стоимость тары и/или упаковки включена в стоимость Материалов.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33"/>
              <w:numPr>
                <w:ilvl w:val="0"/>
                <w:numId w:val="10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Гарантия на материалы, поставляемые Подрядчиком, составляет срок не менее гарантийного срока, установленного заводом изготовителем.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409" w:type="dxa"/>
            <w:vAlign w:val="center"/>
            <w:vMerge w:val="continue"/>
            <w:textDirection w:val="lrTb"/>
            <w:noWrap w:val="false"/>
          </w:tcPr>
          <w:p>
            <w:pPr>
              <w:pStyle w:val="1036"/>
              <w:keepNext w:val="0"/>
              <w:rPr>
                <w:rFonts w:eastAsia="Times New Roman"/>
                <w:b w:val="0"/>
              </w:rPr>
              <w:outlineLvl w:val="2"/>
            </w:pP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</w:r>
          </w:p>
        </w:tc>
      </w:tr>
      <w:tr>
        <w:tblPrEx/>
        <w:trPr>
          <w:trHeight w:val="276"/>
        </w:trPr>
        <w:tc>
          <w:tcPr>
            <w:tcW w:w="864" w:type="dxa"/>
            <w:vAlign w:val="center"/>
            <w:vMerge w:val="restart"/>
            <w:textDirection w:val="lrTb"/>
            <w:noWrap w:val="false"/>
          </w:tcPr>
          <w:p>
            <w:pPr>
              <w:pStyle w:val="1035"/>
              <w:ind w:left="25"/>
              <w:spacing w:before="60" w:after="60"/>
            </w:pPr>
            <w:r>
              <w:t xml:space="preserve">1.3.2.</w:t>
            </w:r>
            <w:r/>
          </w:p>
        </w:tc>
        <w:tc>
          <w:tcPr>
            <w:tcW w:w="10596" w:type="dxa"/>
            <w:textDirection w:val="lrTb"/>
            <w:noWrap w:val="false"/>
          </w:tcPr>
          <w:p>
            <w:pPr>
              <w:spacing w:before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контролю качества работ и материалов/оборудования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0" w:type="dxa"/>
            <w:vAlign w:val="center"/>
            <w:vMerge w:val="continue"/>
            <w:textDirection w:val="lrTb"/>
            <w:noWrap w:val="false"/>
          </w:tcPr>
          <w:p>
            <w:r/>
          </w:p>
        </w:tc>
        <w:tc>
          <w:tcPr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64" w:type="dxa"/>
            <w:vAlign w:val="center"/>
            <w:vMerge w:val="continue"/>
            <w:textDirection w:val="lrTb"/>
            <w:noWrap w:val="false"/>
          </w:tcPr>
          <w:p>
            <w:pPr>
              <w:pStyle w:val="1035"/>
              <w:ind w:left="25"/>
              <w:spacing w:before="60" w:after="60"/>
            </w:pPr>
            <w:r/>
            <w:r/>
          </w:p>
        </w:tc>
        <w:tc>
          <w:tcPr>
            <w:tcW w:w="10596" w:type="dxa"/>
            <w:textDirection w:val="lrTb"/>
            <w:noWrap w:val="false"/>
          </w:tcPr>
          <w:p>
            <w:pPr>
              <w:pStyle w:val="1033"/>
              <w:ind w:firstLine="558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1.3.2.1. Требования к контролю качества работ </w:t>
            </w:r>
            <w:r>
              <w:rPr>
                <w:b/>
                <w:i/>
                <w:sz w:val="24"/>
                <w:szCs w:val="24"/>
              </w:rPr>
            </w:r>
            <w:r>
              <w:rPr>
                <w:b/>
                <w:i/>
                <w:sz w:val="24"/>
                <w:szCs w:val="24"/>
              </w:rPr>
            </w:r>
          </w:p>
          <w:p>
            <w:pPr>
              <w:pStyle w:val="1033"/>
              <w:ind w:firstLine="55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Заказчик может самостоятельно или с привлечением третьих лиц осуществлять контроль, в том числе строительный, и надзор за ходом и качеством выполняемых Подрядчиком и Субподрядчиками работ, соблюдением сроков и качеством их выполнения, не вмешиваясь при это</w:t>
            </w:r>
            <w:r>
              <w:rPr>
                <w:sz w:val="24"/>
                <w:szCs w:val="24"/>
              </w:rPr>
              <w:t xml:space="preserve">м в их оперативно-хозяйственную деятельность. Проведение Заказчиком контроля не снимает с Подрядчика ответственности за ненадлежащее выполнение работ.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33"/>
              <w:ind w:firstLine="558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</w:r>
            <w:r>
              <w:rPr>
                <w:b/>
                <w:i/>
                <w:sz w:val="24"/>
                <w:szCs w:val="24"/>
              </w:rPr>
            </w:r>
            <w:r>
              <w:rPr>
                <w:b/>
                <w:i/>
                <w:sz w:val="24"/>
                <w:szCs w:val="24"/>
              </w:rPr>
            </w:r>
          </w:p>
          <w:p>
            <w:pPr>
              <w:pStyle w:val="1033"/>
              <w:ind w:firstLine="558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1.3.2.2. Требования к контролю качества материалов/оборудования</w:t>
            </w:r>
            <w:r>
              <w:rPr>
                <w:b/>
                <w:i/>
                <w:sz w:val="24"/>
                <w:szCs w:val="24"/>
              </w:rPr>
            </w:r>
            <w:r>
              <w:rPr>
                <w:b/>
                <w:i/>
                <w:sz w:val="24"/>
                <w:szCs w:val="24"/>
              </w:rPr>
            </w:r>
          </w:p>
          <w:p>
            <w:pPr>
              <w:pStyle w:val="1033"/>
              <w:ind w:firstLine="55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Применяемые при монтаже оборудование и м</w:t>
            </w:r>
            <w:r>
              <w:rPr>
                <w:sz w:val="24"/>
                <w:szCs w:val="24"/>
              </w:rPr>
              <w:t xml:space="preserve">атериалы должны соответствовать государственным стандартам, иметь соответствующие сертификаты (в том числе на продукцию, подлежащую обязательной сертификации), технические паспорта и другие документы, удостоверяющие их качество и применимость для данных ус</w:t>
            </w:r>
            <w:r>
              <w:rPr>
                <w:sz w:val="24"/>
                <w:szCs w:val="24"/>
              </w:rPr>
              <w:t xml:space="preserve">ловий эксплуатации.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3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Подрядчик обязан: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33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предоставляет Заказчику документы, удостоверяющие качество используемых Подрядчиком Материально-технических ресурсов и оборудования;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33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Обеспечить доставку, приемку, разгрузку, складирование и хранение прибывающих на мест</w:t>
            </w:r>
            <w:r>
              <w:rPr>
                <w:sz w:val="24"/>
                <w:szCs w:val="24"/>
              </w:rPr>
              <w:t xml:space="preserve">о производства Работ Материально-технических ресурсов и оборудования, необходимых для выполнения Работ.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35"/>
              <w:numPr>
                <w:ilvl w:val="0"/>
                <w:numId w:val="7"/>
              </w:numPr>
              <w:ind w:left="0" w:firstLine="0"/>
              <w:jc w:val="both"/>
              <w:shd w:val="clear" w:color="auto" w:fill="ffffff"/>
              <w:tabs>
                <w:tab w:val="left" w:pos="1418" w:leader="none"/>
              </w:tabs>
              <w:rPr>
                <w:highlight w:val="white"/>
              </w:rPr>
            </w:pPr>
            <w:r>
              <w:t xml:space="preserve">Организовать контроль качества поступающих Материально-технических ресурсов и оборудования, обеспечить наличие соответствующих сертификатов, технических паспортов и других документов, удостоверяющих качество используемых Подрядчиком в месте производства Ра</w:t>
            </w:r>
            <w:r>
              <w:t xml:space="preserve">бот Мате</w:t>
            </w:r>
            <w:r>
              <w:rPr>
                <w:highlight w:val="white"/>
              </w:rPr>
              <w:t xml:space="preserve">риально-технических ресурсов и оборудования. Копии таких сертификатов, технических паспортов и иных документов должны быть предоставлены Заказчику до начала производства Работ.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035"/>
              <w:numPr>
                <w:ilvl w:val="0"/>
                <w:numId w:val="7"/>
              </w:numPr>
              <w:ind w:left="0" w:firstLine="0"/>
              <w:jc w:val="both"/>
              <w:shd w:val="clear" w:color="auto" w:fill="ffffff"/>
              <w:tabs>
                <w:tab w:val="left" w:pos="1418" w:leader="none"/>
              </w:tabs>
              <w:rPr>
                <w:bCs/>
                <w:highlight w:val="white"/>
              </w:rPr>
            </w:pPr>
            <w:r>
              <w:rPr>
                <w:highlight w:val="white"/>
              </w:rPr>
              <w:t xml:space="preserve">В случае указания в настоящих Технических требованиях и приложенной к </w:t>
            </w:r>
            <w:r>
              <w:rPr>
                <w:highlight w:val="white"/>
              </w:rPr>
              <w:t xml:space="preserve">ним документации конкретных торгов</w:t>
            </w:r>
            <w:bookmarkStart w:id="34" w:name="undefined"/>
            <w:r/>
            <w:bookmarkEnd w:id="34"/>
            <w:r>
              <w:rPr>
                <w:highlight w:val="white"/>
              </w:rPr>
              <w:t xml:space="preserve">ых марок и названий материалов/оборудования, Подрядчик может предложить эквивалентную продукцию*.</w:t>
            </w:r>
            <w:r>
              <w:rPr>
                <w:bCs/>
                <w:highlight w:val="white"/>
              </w:rPr>
            </w:r>
            <w:r>
              <w:rPr>
                <w:bCs/>
                <w:highlight w:val="white"/>
              </w:rPr>
            </w:r>
          </w:p>
          <w:p>
            <w:pPr>
              <w:jc w:val="both"/>
              <w:shd w:val="clear" w:color="auto" w:fill="ffffff"/>
              <w:tabs>
                <w:tab w:val="left" w:pos="1418" w:leader="none"/>
              </w:tabs>
              <w:rPr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* Эквивалентная продукция - это продукция, которая по техническим и функциональным характеристикам не уступает характеристик</w:t>
            </w:r>
            <w:r>
              <w:rPr>
                <w:sz w:val="24"/>
                <w:szCs w:val="24"/>
                <w:highlight w:val="white"/>
              </w:rPr>
              <w:t xml:space="preserve">ам, заявленным в Документации о закупке, в том числе по гарантийным срокам эксплуатации.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pStyle w:val="1035"/>
              <w:numPr>
                <w:ilvl w:val="0"/>
                <w:numId w:val="7"/>
              </w:numPr>
              <w:ind w:left="0" w:firstLine="0"/>
              <w:jc w:val="both"/>
              <w:shd w:val="clear" w:color="auto" w:fill="ffffff"/>
              <w:tabs>
                <w:tab w:val="left" w:pos="1418" w:leader="none"/>
              </w:tabs>
              <w:rPr>
                <w:bCs/>
              </w:rPr>
            </w:pPr>
            <w:r>
              <w:rPr>
                <w:bCs/>
                <w:highlight w:val="white"/>
              </w:rPr>
              <w:t xml:space="preserve">Подрядчик обязуется письменно согласовать с За</w:t>
            </w:r>
            <w:r>
              <w:rPr>
                <w:bCs/>
              </w:rPr>
              <w:t xml:space="preserve">казчиком планируемые к использованию Материально-технические ресурсы и оборудование до начала производства Работ в случае</w:t>
            </w:r>
            <w:r>
              <w:rPr>
                <w:bCs/>
              </w:rPr>
              <w:t xml:space="preserve">, если они не соответствуют условиям Договора.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W w:w="212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0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64" w:type="dxa"/>
            <w:vAlign w:val="center"/>
            <w:textDirection w:val="lrTb"/>
            <w:noWrap w:val="false"/>
          </w:tcPr>
          <w:p>
            <w:pPr>
              <w:pStyle w:val="1035"/>
              <w:numPr>
                <w:ilvl w:val="1"/>
                <w:numId w:val="2"/>
              </w:numPr>
              <w:ind w:left="-117" w:firstLine="142"/>
              <w:jc w:val="center"/>
              <w:spacing w:before="60" w:after="60"/>
            </w:pPr>
            <w:r/>
            <w:r/>
          </w:p>
        </w:tc>
        <w:tc>
          <w:tcPr>
            <w:tcW w:w="10596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персоналу подрядчика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0" w:type="dxa"/>
            <w:vAlign w:val="center"/>
            <w:vMerge w:val="continue"/>
            <w:textDirection w:val="lrTb"/>
            <w:noWrap w:val="false"/>
          </w:tcPr>
          <w:p>
            <w:r/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64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sz w:val="24"/>
              </w:rPr>
            </w:pPr>
            <w:r>
              <w:rPr>
                <w:sz w:val="24"/>
              </w:rPr>
              <w:t xml:space="preserve">1.4.1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10596" w:type="dxa"/>
            <w:textDirection w:val="lrTb"/>
            <w:noWrap w:val="false"/>
          </w:tcPr>
          <w:p>
            <w:pPr>
              <w:ind w:right="97"/>
              <w:jc w:val="both"/>
              <w:widowControl w:val="off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Подрядчик должен производить работы квалифицированными специалистами рабочих специальностей и ИТР: </w:t>
            </w:r>
            <w:r>
              <w:rPr>
                <w:sz w:val="24"/>
              </w:rPr>
              <w:t xml:space="preserve">аттестованных согласно «Правил по охране труда при эксплуатации электроустановок» Минтруда РФ от 1512.2020 №903н, «</w:t>
            </w:r>
            <w:hyperlink r:id="rId13" w:tooltip="https://docs.cntd.ru/document/573068704#6540IN" w:anchor="6540IN" w:history="1">
              <w:r>
                <w:rPr>
                  <w:sz w:val="24"/>
                </w:rPr>
                <w:t xml:space="preserve">Правил по охране труд</w:t>
              </w:r>
              <w:r>
                <w:rPr>
                  <w:sz w:val="24"/>
                </w:rPr>
                <w:t xml:space="preserve">а при работе с инструментом и приспособлениями</w:t>
              </w:r>
            </w:hyperlink>
            <w:r>
              <w:rPr>
                <w:sz w:val="24"/>
              </w:rPr>
              <w:t xml:space="preserve">» от 27.11.2020  №835н, « </w:t>
            </w:r>
            <w:hyperlink r:id="rId14" w:tooltip="https://docs.cntd.ru/document/573114692#6540IN" w:anchor="6540IN" w:history="1">
              <w:r>
                <w:rPr>
                  <w:sz w:val="24"/>
                </w:rPr>
                <w:t xml:space="preserve">Правил по охране труда при работе на высоте</w:t>
              </w:r>
            </w:hyperlink>
            <w:r>
              <w:rPr>
                <w:sz w:val="24"/>
              </w:rPr>
              <w:t xml:space="preserve">» от 16.11.2020 №782н</w:t>
            </w:r>
            <w:r>
              <w:rPr>
                <w:sz w:val="24"/>
              </w:rPr>
              <w:t xml:space="preserve">, «Правил техники безопасности при эксплуатации тепломеханического оборудования электростанций и тепловых сетей» РД 34.03.201-97, Правил противопожарного режима в Российской Федерации, утверждённых от 16.09.2020 №1479</w:t>
            </w:r>
            <w:r>
              <w:rPr>
                <w:sz w:val="24"/>
              </w:rPr>
              <w:t xml:space="preserve">). 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ind w:firstLine="567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Квалификация персонала должна соответствовать видам выполняемых работ и располагать: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1035"/>
              <w:numPr>
                <w:ilvl w:val="0"/>
                <w:numId w:val="8"/>
              </w:numPr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 xml:space="preserve">квалифицированной командой ИТР, способной до начала работ на объекте ознакомить производственные бригады с общим объёмом работ, сроком выполнения работ и графиком, правила</w:t>
            </w:r>
            <w:r>
              <w:rPr>
                <w:bCs/>
              </w:rPr>
              <w:t xml:space="preserve">ми внутреннего распорядка, задачами, стоящими перед каждой бригадой;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pStyle w:val="1035"/>
              <w:numPr>
                <w:ilvl w:val="0"/>
                <w:numId w:val="8"/>
              </w:numPr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 xml:space="preserve">достаточным количеством аттестованного персонала, организованного по принципу комплексных специализированных бригад.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both"/>
              <w:widowControl w:val="off"/>
              <w:rPr>
                <w:bCs/>
                <w:sz w:val="24"/>
              </w:rPr>
            </w:pPr>
            <w:r>
              <w:rPr>
                <w:sz w:val="24"/>
                <w:lang w:val="sr-Cyrl-CS"/>
              </w:rPr>
              <w:t xml:space="preserve">Подрядчик должен:</w:t>
            </w:r>
            <w:r>
              <w:rPr>
                <w:bCs/>
                <w:sz w:val="24"/>
              </w:rPr>
            </w:r>
            <w:r>
              <w:rPr>
                <w:bCs/>
                <w:sz w:val="24"/>
              </w:rPr>
            </w:r>
          </w:p>
          <w:p>
            <w:pPr>
              <w:pStyle w:val="1035"/>
              <w:numPr>
                <w:ilvl w:val="0"/>
                <w:numId w:val="8"/>
              </w:numPr>
              <w:ind w:left="0" w:firstLine="0"/>
              <w:jc w:val="both"/>
              <w:rPr>
                <w:bCs/>
              </w:rPr>
            </w:pPr>
            <w:r>
              <w:rPr>
                <w:bCs/>
              </w:rPr>
              <w:t xml:space="preserve">иметь производственную базу (материально-технические</w:t>
            </w:r>
            <w:r>
              <w:rPr>
                <w:bCs/>
              </w:rPr>
              <w:t xml:space="preserve"> ресурсы), позволяющую проводить работы, оборудования и материалы в объеме, определенном ведомостью поставки подрядчика.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pStyle w:val="1035"/>
              <w:numPr>
                <w:ilvl w:val="0"/>
                <w:numId w:val="8"/>
              </w:numPr>
              <w:ind w:left="0" w:firstLine="0"/>
              <w:jc w:val="both"/>
              <w:tabs>
                <w:tab w:val="left" w:pos="526" w:leader="none"/>
                <w:tab w:val="left" w:pos="967" w:leader="none"/>
              </w:tabs>
              <w:rPr>
                <w:bCs/>
              </w:rPr>
            </w:pPr>
            <w:r>
              <w:rPr>
                <w:bCs/>
              </w:rPr>
              <w:t xml:space="preserve">обладать гражданской правоспособностью в полном объёме для заключения и исполнения договора подряда (должен быть зарегистрирован в уста</w:t>
            </w:r>
            <w:r>
              <w:rPr>
                <w:bCs/>
              </w:rPr>
              <w:t xml:space="preserve">новленном порядке и иметь соответствующие разрешения на выполнение видов работ в рамках договора подряда);</w:t>
            </w:r>
            <w:r>
              <w:rPr>
                <w:bCs/>
              </w:rPr>
            </w:r>
            <w:r>
              <w:rPr>
                <w:bCs/>
              </w:rPr>
            </w:r>
          </w:p>
          <w:p>
            <w:pPr>
              <w:jc w:val="both"/>
              <w:tabs>
                <w:tab w:val="left" w:pos="526" w:leader="none"/>
                <w:tab w:val="left" w:pos="967" w:leader="none"/>
              </w:tabs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Во время проведения работ команда ИТР Подрядчика должна поддерживать на должном уровне систему управления работами (инструментальное и материально-те</w:t>
            </w:r>
            <w:r>
              <w:rPr>
                <w:bCs/>
                <w:sz w:val="24"/>
                <w:szCs w:val="24"/>
              </w:rPr>
              <w:t xml:space="preserve">хническое обеспечение, уборка рабочих мест и конструкций оборудования, транспортировка мусора и отходов, оплаты и стимулирования труда, мероприятия по безопасности труда, противопожарных мероприятий).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20" w:type="dxa"/>
            <w:vAlign w:val="center"/>
            <w:vMerge w:val="continue"/>
            <w:textDirection w:val="lrTb"/>
            <w:noWrap w:val="false"/>
          </w:tcPr>
          <w:p>
            <w:r/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64" w:type="dxa"/>
            <w:vAlign w:val="center"/>
            <w:textDirection w:val="lrTb"/>
            <w:noWrap w:val="false"/>
          </w:tcPr>
          <w:p>
            <w:pPr>
              <w:pStyle w:val="1035"/>
              <w:numPr>
                <w:ilvl w:val="1"/>
                <w:numId w:val="2"/>
              </w:numPr>
              <w:ind w:left="-117" w:firstLine="142"/>
              <w:jc w:val="center"/>
              <w:spacing w:before="60" w:after="60"/>
            </w:pPr>
            <w:r/>
            <w:r/>
          </w:p>
        </w:tc>
        <w:tc>
          <w:tcPr>
            <w:tcW w:w="10596" w:type="dxa"/>
            <w:vAlign w:val="center"/>
            <w:textDirection w:val="lrTb"/>
            <w:noWrap w:val="false"/>
          </w:tcPr>
          <w:p>
            <w:pPr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безопасности работ и охране труда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20" w:type="dxa"/>
            <w:vAlign w:val="center"/>
            <w:vMerge w:val="continue"/>
            <w:textDirection w:val="lrTb"/>
            <w:noWrap w:val="false"/>
          </w:tcPr>
          <w:p>
            <w:r/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64" w:type="dxa"/>
            <w:vAlign w:val="center"/>
            <w:textDirection w:val="lrTb"/>
            <w:noWrap w:val="false"/>
          </w:tcPr>
          <w:p>
            <w:pPr>
              <w:ind w:left="-127"/>
              <w:jc w:val="center"/>
              <w:spacing w:before="60" w:after="60"/>
            </w:pPr>
            <w:r>
              <w:rPr>
                <w:sz w:val="24"/>
              </w:rPr>
              <w:t xml:space="preserve">1.5.1</w:t>
            </w:r>
            <w:r/>
          </w:p>
        </w:tc>
        <w:tc>
          <w:tcPr>
            <w:tcW w:w="10596" w:type="dxa"/>
            <w:textDirection w:val="lrTb"/>
            <w:noWrap w:val="false"/>
          </w:tcPr>
          <w:p>
            <w:pPr>
              <w:pStyle w:val="1035"/>
              <w:ind w:left="0"/>
            </w:pPr>
            <w:r>
              <w:rPr>
                <w:bCs/>
              </w:rPr>
              <w:t xml:space="preserve">Провести инструктаж персонала, задействованного при производстве Работ, обеспечить соблюдение (в том числе указа</w:t>
            </w:r>
            <w:r>
              <w:rPr>
                <w:bCs/>
              </w:rPr>
              <w:t xml:space="preserve">нным персоналом) правил эксплуатации электроустановок, требований охраны труда, пожарной и промышленной безопасности, экологических, санитарных требований и правил, а также иных нормативных правовых актов и требований локальных нормативных актов Заказчика.</w:t>
            </w:r>
            <w:r/>
          </w:p>
        </w:tc>
        <w:tc>
          <w:tcPr>
            <w:tcW w:w="2120" w:type="dxa"/>
            <w:vAlign w:val="center"/>
            <w:vMerge w:val="continue"/>
            <w:textDirection w:val="lrTb"/>
            <w:noWrap w:val="false"/>
          </w:tcPr>
          <w:p>
            <w:r/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64" w:type="dxa"/>
            <w:vAlign w:val="center"/>
            <w:textDirection w:val="lrTb"/>
            <w:noWrap w:val="false"/>
          </w:tcPr>
          <w:p>
            <w:pPr>
              <w:pStyle w:val="1035"/>
              <w:numPr>
                <w:ilvl w:val="0"/>
                <w:numId w:val="2"/>
              </w:numPr>
              <w:jc w:val="center"/>
              <w:spacing w:before="60" w:after="60"/>
            </w:pPr>
            <w:r/>
            <w:r/>
          </w:p>
        </w:tc>
        <w:tc>
          <w:tcPr>
            <w:tcW w:w="10596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результатам работ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120" w:type="dxa"/>
            <w:vAlign w:val="center"/>
            <w:vMerge w:val="continue"/>
            <w:textDirection w:val="lrTb"/>
            <w:noWrap w:val="false"/>
          </w:tcPr>
          <w:p>
            <w:r/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64" w:type="dxa"/>
            <w:vAlign w:val="center"/>
            <w:textDirection w:val="lrTb"/>
            <w:noWrap w:val="false"/>
          </w:tcPr>
          <w:p>
            <w:pPr>
              <w:pStyle w:val="1035"/>
              <w:numPr>
                <w:ilvl w:val="1"/>
                <w:numId w:val="2"/>
              </w:numPr>
              <w:ind w:left="-117" w:firstLine="142"/>
              <w:jc w:val="center"/>
              <w:spacing w:before="60" w:after="60"/>
            </w:pPr>
            <w:r/>
            <w:r/>
          </w:p>
        </w:tc>
        <w:tc>
          <w:tcPr>
            <w:tcW w:w="10596" w:type="dxa"/>
            <w:vAlign w:val="center"/>
            <w:textDirection w:val="lrTb"/>
            <w:noWrap w:val="false"/>
          </w:tcPr>
          <w:p>
            <w:pPr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Общие требования к результатам работ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20" w:type="dxa"/>
            <w:vAlign w:val="center"/>
            <w:vMerge w:val="continue"/>
            <w:textDirection w:val="lrTb"/>
            <w:noWrap w:val="false"/>
          </w:tcPr>
          <w:p>
            <w:r/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77"/>
        </w:trPr>
        <w:tc>
          <w:tcPr>
            <w:tcW w:w="864" w:type="dxa"/>
            <w:vAlign w:val="center"/>
            <w:textDirection w:val="lrTb"/>
            <w:noWrap w:val="false"/>
          </w:tcPr>
          <w:p>
            <w:pPr>
              <w:pStyle w:val="1035"/>
              <w:ind w:left="25"/>
              <w:spacing w:before="60" w:after="60"/>
            </w:pPr>
            <w:r>
              <w:t xml:space="preserve">2.1.1</w:t>
            </w:r>
            <w:r/>
          </w:p>
        </w:tc>
        <w:tc>
          <w:tcPr>
            <w:tcW w:w="10596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Состав разделов РД, их объем должен соответствовать требованиям ГОСТ Р 21.101-</w:t>
            </w:r>
            <w:r>
              <w:rPr>
                <w:sz w:val="24"/>
                <w:szCs w:val="24"/>
                <w:lang w:eastAsia="en-US"/>
              </w:rPr>
              <w:t xml:space="preserve">2020 «Система проектной документации для строительства. Основные требования к проектной и рабочей документации», Постановлению Правительства Российской Федерации №87 от 16.02.2008 «О составе разделов проектной документации и требованиях к их содержанию».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Работы должны быть выполнены в соответствии в проектной документацией и ведомостью объёмов работ, принятый Заказчиком в Гарантийную эксплуатацию по Акту КС-11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0" w:type="dxa"/>
            <w:vAlign w:val="center"/>
            <w:vMerge w:val="continue"/>
            <w:textDirection w:val="lrTb"/>
            <w:noWrap w:val="false"/>
          </w:tcPr>
          <w:p>
            <w:r/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036"/>
              <w:jc w:val="left"/>
              <w:keepNext w:val="0"/>
              <w:rPr>
                <w:rFonts w:eastAsia="Times New Roman"/>
                <w:b w:val="0"/>
              </w:rPr>
              <w:outlineLvl w:val="2"/>
            </w:pP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</w:r>
            <w:r>
              <w:rPr>
                <w:rFonts w:eastAsia="Times New Roman"/>
                <w:b w:val="0"/>
              </w:rPr>
            </w:r>
          </w:p>
        </w:tc>
      </w:tr>
      <w:tr>
        <w:tblPrEx/>
        <w:trPr/>
        <w:tc>
          <w:tcPr>
            <w:tcW w:w="864" w:type="dxa"/>
            <w:vAlign w:val="center"/>
            <w:textDirection w:val="lrTb"/>
            <w:noWrap w:val="false"/>
          </w:tcPr>
          <w:p>
            <w:pPr>
              <w:pStyle w:val="1035"/>
              <w:numPr>
                <w:ilvl w:val="1"/>
                <w:numId w:val="2"/>
              </w:numPr>
              <w:ind w:left="-117" w:firstLine="142"/>
              <w:jc w:val="center"/>
              <w:spacing w:before="60" w:after="60"/>
            </w:pPr>
            <w:r/>
            <w:r/>
          </w:p>
        </w:tc>
        <w:tc>
          <w:tcPr>
            <w:tcW w:w="10596" w:type="dxa"/>
            <w:vAlign w:val="center"/>
            <w:textDirection w:val="lrTb"/>
            <w:noWrap w:val="false"/>
          </w:tcPr>
          <w:p>
            <w:pPr>
              <w:spacing w:before="6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техническим и функциональным характеристикам объекта, которые должны быть достигнуты в результате выполнения работ, включая гарантируемые показатели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0" w:type="dxa"/>
            <w:vAlign w:val="center"/>
            <w:vMerge w:val="continue"/>
            <w:textDirection w:val="lrTb"/>
            <w:noWrap w:val="false"/>
          </w:tcPr>
          <w:p>
            <w:r/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64" w:type="dxa"/>
            <w:vAlign w:val="center"/>
            <w:textDirection w:val="lrTb"/>
            <w:noWrap w:val="false"/>
          </w:tcPr>
          <w:p>
            <w:pPr>
              <w:pStyle w:val="1035"/>
              <w:ind w:left="25"/>
              <w:spacing w:before="60" w:after="60"/>
            </w:pPr>
            <w:r>
              <w:t xml:space="preserve">2.2.1</w:t>
            </w:r>
            <w:r/>
          </w:p>
        </w:tc>
        <w:tc>
          <w:tcPr>
            <w:tcW w:w="10596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В соответствии с рабочей документацией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0" w:type="dxa"/>
            <w:vAlign w:val="center"/>
            <w:vMerge w:val="continue"/>
            <w:textDirection w:val="lrTb"/>
            <w:noWrap w:val="false"/>
          </w:tcPr>
          <w:p>
            <w:r/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1036"/>
              <w:keepNext w:val="0"/>
              <w:rPr>
                <w:rFonts w:eastAsia="Times New Roman"/>
                <w:b w:val="0"/>
                <w:bCs/>
              </w:rPr>
              <w:outlineLvl w:val="2"/>
            </w:pPr>
            <w:r>
              <w:rPr>
                <w:rFonts w:eastAsia="Times New Roman"/>
                <w:b w:val="0"/>
                <w:bCs/>
              </w:rPr>
              <w:t xml:space="preserve">-</w:t>
            </w:r>
            <w:r>
              <w:rPr>
                <w:rFonts w:eastAsia="Times New Roman"/>
                <w:b w:val="0"/>
                <w:bCs/>
              </w:rPr>
            </w:r>
            <w:r>
              <w:rPr>
                <w:rFonts w:eastAsia="Times New Roman"/>
                <w:b w:val="0"/>
                <w:bCs/>
              </w:rPr>
            </w:r>
          </w:p>
          <w:p>
            <w:pPr>
              <w:pStyle w:val="1036"/>
              <w:keepNext w:val="0"/>
              <w:rPr>
                <w:rFonts w:eastAsia="Times New Roman"/>
                <w:b w:val="0"/>
                <w:bCs/>
              </w:rPr>
              <w:outlineLvl w:val="2"/>
            </w:pPr>
            <w:r>
              <w:rPr>
                <w:rFonts w:eastAsia="Times New Roman"/>
                <w:b w:val="0"/>
                <w:bCs/>
              </w:rPr>
            </w:r>
            <w:r>
              <w:rPr>
                <w:rFonts w:eastAsia="Times New Roman"/>
                <w:b w:val="0"/>
                <w:bCs/>
              </w:rPr>
            </w:r>
            <w:r>
              <w:rPr>
                <w:rFonts w:eastAsia="Times New Roman"/>
                <w:b w:val="0"/>
                <w:bCs/>
              </w:rPr>
            </w:r>
          </w:p>
        </w:tc>
      </w:tr>
      <w:tr>
        <w:tblPrEx/>
        <w:trPr>
          <w:trHeight w:val="276"/>
        </w:trPr>
        <w:tc>
          <w:tcPr>
            <w:tcW w:w="864" w:type="dxa"/>
            <w:vAlign w:val="center"/>
            <w:vMerge w:val="restart"/>
            <w:textDirection w:val="lrTb"/>
            <w:noWrap w:val="false"/>
          </w:tcPr>
          <w:p>
            <w:pPr>
              <w:pStyle w:val="1035"/>
              <w:ind w:left="25"/>
              <w:spacing w:before="60" w:after="60"/>
            </w:pPr>
            <w:r>
              <w:t xml:space="preserve">2.2.2</w:t>
            </w:r>
            <w:r/>
          </w:p>
        </w:tc>
        <w:tc>
          <w:tcPr>
            <w:tcW w:w="10596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Гарантийный срок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0" w:type="dxa"/>
            <w:vAlign w:val="center"/>
            <w:vMerge w:val="continue"/>
            <w:textDirection w:val="lrTb"/>
            <w:noWrap w:val="false"/>
          </w:tcPr>
          <w:p>
            <w:r/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6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0596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/>
            <w:bookmarkStart w:id="35" w:name="_Ref361337777"/>
            <w:r>
              <w:rPr>
                <w:sz w:val="24"/>
                <w:szCs w:val="24"/>
                <w:lang w:eastAsia="en-US"/>
              </w:rPr>
              <w:t xml:space="preserve">Гарантийный срок составляет 24 (двадцать четыре) месяца и начинает течь с даты подписания Сторонами Акта КС-11 </w:t>
            </w:r>
            <w:bookmarkEnd w:id="35"/>
            <w:r>
              <w:rPr>
                <w:sz w:val="24"/>
                <w:szCs w:val="24"/>
                <w:lang w:eastAsia="en-US"/>
              </w:rPr>
              <w:t xml:space="preserve">либо с даты прекращения (расторжения) Договора. Гарантийный срок может быть продлен в соответствии с условиями Договора.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Подробно требования к сроку и объему предоставления гарантий указаны в договоре подряда </w:t>
            </w:r>
            <w:r>
              <w:rPr>
                <w:i/>
                <w:sz w:val="24"/>
                <w:szCs w:val="24"/>
                <w:lang w:eastAsia="en-US"/>
              </w:rPr>
              <w:t xml:space="preserve">(раздел № 7).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0" w:type="dxa"/>
            <w:vAlign w:val="center"/>
            <w:vMerge w:val="continue"/>
            <w:textDirection w:val="lrTb"/>
            <w:noWrap w:val="false"/>
          </w:tcPr>
          <w:p>
            <w:r/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-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864" w:type="dxa"/>
            <w:vAlign w:val="center"/>
            <w:textDirection w:val="lrTb"/>
            <w:noWrap w:val="false"/>
          </w:tcPr>
          <w:p>
            <w:pPr>
              <w:pStyle w:val="1035"/>
              <w:numPr>
                <w:ilvl w:val="1"/>
                <w:numId w:val="2"/>
              </w:numPr>
              <w:ind w:left="-117" w:firstLine="142"/>
              <w:jc w:val="center"/>
              <w:spacing w:before="60" w:after="60"/>
            </w:pPr>
            <w:r/>
            <w:r/>
          </w:p>
        </w:tc>
        <w:tc>
          <w:tcPr>
            <w:tcW w:w="10596" w:type="dxa"/>
            <w:vAlign w:val="center"/>
            <w:textDirection w:val="lrTb"/>
            <w:noWrap w:val="false"/>
          </w:tcPr>
          <w:p>
            <w:pPr>
              <w:shd w:val="clear" w:color="ffffff" w:themeColor="background1" w:fill="ffffff" w:themeFill="background1"/>
              <w:rPr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Требования к порядку приемки результатов ра</w:t>
            </w:r>
            <w:r>
              <w:rPr>
                <w:b/>
                <w:bCs/>
                <w:sz w:val="24"/>
                <w:szCs w:val="24"/>
                <w:highlight w:val="white"/>
              </w:rPr>
              <w:t xml:space="preserve">бот</w:t>
            </w:r>
            <w:r>
              <w:rPr>
                <w:rStyle w:val="1039"/>
                <w:highlight w:val="white"/>
                <w:shd w:val="clear" w:color="ffffff" w:themeColor="background1" w:fill="ffffff" w:themeFill="background1"/>
              </w:rPr>
              <w:t xml:space="preserve"> </w:t>
            </w:r>
            <w:r>
              <w:rPr>
                <w:bCs/>
                <w:sz w:val="24"/>
                <w:szCs w:val="24"/>
                <w:highlight w:val="white"/>
              </w:rPr>
            </w:r>
            <w:r>
              <w:rPr>
                <w:bCs/>
                <w:sz w:val="24"/>
                <w:szCs w:val="24"/>
                <w:highlight w:val="white"/>
              </w:rPr>
            </w:r>
          </w:p>
        </w:tc>
        <w:tc>
          <w:tcPr>
            <w:tcW w:w="2120" w:type="dxa"/>
            <w:vAlign w:val="center"/>
            <w:vMerge w:val="continue"/>
            <w:textDirection w:val="lrTb"/>
            <w:noWrap w:val="false"/>
          </w:tcPr>
          <w:p>
            <w:r/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64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2.3.1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0596" w:type="dxa"/>
            <w:textDirection w:val="lrTb"/>
            <w:noWrap w:val="false"/>
          </w:tcPr>
          <w:p>
            <w:pPr>
              <w:pStyle w:val="1035"/>
              <w:ind w:left="0"/>
              <w:shd w:val="clear" w:color="auto" w:fill="ffffff"/>
              <w:tabs>
                <w:tab w:val="left" w:pos="284" w:leader="none"/>
              </w:tabs>
              <w:rPr>
                <w:b/>
              </w:rPr>
            </w:pPr>
            <w:r>
              <w:rPr>
                <w:bCs/>
              </w:rPr>
              <w:t xml:space="preserve">Подробно к требованиям к порядку сдачи-приемки работ указаны в договоре подряда </w:t>
            </w:r>
            <w:r>
              <w:rPr>
                <w:i/>
                <w:lang w:eastAsia="en-US"/>
              </w:rPr>
              <w:t xml:space="preserve">(раздел № 4).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120" w:type="dxa"/>
            <w:vAlign w:val="center"/>
            <w:vMerge w:val="continue"/>
            <w:textDirection w:val="lrTb"/>
            <w:noWrap w:val="false"/>
          </w:tcPr>
          <w:p>
            <w:r/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before="60"/>
              <w:widowControl w:val="off"/>
              <w:tabs>
                <w:tab w:val="left" w:pos="426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64" w:type="dxa"/>
            <w:vAlign w:val="center"/>
            <w:textDirection w:val="lrTb"/>
            <w:noWrap w:val="false"/>
          </w:tcPr>
          <w:p>
            <w:pPr>
              <w:pStyle w:val="1035"/>
              <w:numPr>
                <w:ilvl w:val="1"/>
                <w:numId w:val="2"/>
              </w:numPr>
              <w:ind w:left="-117" w:firstLine="142"/>
              <w:jc w:val="center"/>
              <w:spacing w:before="60" w:after="60"/>
            </w:pPr>
            <w:r/>
            <w:r/>
          </w:p>
        </w:tc>
        <w:tc>
          <w:tcPr>
            <w:tcW w:w="10596" w:type="dxa"/>
            <w:vAlign w:val="center"/>
            <w:textDirection w:val="lrTb"/>
            <w:noWrap w:val="false"/>
          </w:tcPr>
          <w:p>
            <w:pPr>
              <w:spacing w:before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оформлению документации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20" w:type="dxa"/>
            <w:vAlign w:val="center"/>
            <w:vMerge w:val="continue"/>
            <w:textDirection w:val="lrTb"/>
            <w:noWrap w:val="false"/>
          </w:tcPr>
          <w:p>
            <w:r/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64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2.4.1.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0596" w:type="dxa"/>
            <w:textDirection w:val="lrTb"/>
            <w:noWrap w:val="false"/>
          </w:tcPr>
          <w:p>
            <w:pPr>
              <w:pStyle w:val="1035"/>
              <w:ind w:left="0"/>
              <w:shd w:val="clear" w:color="auto" w:fill="ffffff"/>
              <w:tabs>
                <w:tab w:val="left" w:pos="284" w:leader="none"/>
              </w:tabs>
              <w:rPr>
                <w:b/>
              </w:rPr>
            </w:pPr>
            <w:r>
              <w:rPr>
                <w:bCs/>
              </w:rPr>
              <w:t xml:space="preserve">Промежуточные (ежемесячные) объемы выполненных работ оформляются актом освидетельствования выполненных работ с приложением приемо-сдаточной и Исполнительной документации. По завершению выполнения работ по договору подряда оформляется а</w:t>
            </w:r>
            <w:r>
              <w:t xml:space="preserve">кт КС-2 </w:t>
            </w:r>
            <w:r>
              <w:rPr>
                <w:bCs/>
              </w:rPr>
              <w:t xml:space="preserve">и с</w:t>
            </w:r>
            <w:r>
              <w:t xml:space="preserve">правка КС-</w:t>
            </w:r>
            <w:r>
              <w:t xml:space="preserve">3 </w:t>
            </w:r>
            <w:r>
              <w:rPr>
                <w:bCs/>
              </w:rPr>
              <w:t xml:space="preserve">с приложением приемо-сдаточной и Исполнительной документации. Подробные требования указаны в договоре подряда </w:t>
            </w:r>
            <w:r>
              <w:rPr>
                <w:i/>
                <w:lang w:eastAsia="en-US"/>
              </w:rPr>
              <w:t xml:space="preserve">(раздел № 4).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120" w:type="dxa"/>
            <w:vAlign w:val="center"/>
            <w:vMerge w:val="continue"/>
            <w:textDirection w:val="lrTb"/>
            <w:noWrap w:val="false"/>
          </w:tcPr>
          <w:p>
            <w:r/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1036"/>
              <w:keepNext w:val="0"/>
              <w:outlineLvl w:val="2"/>
            </w:pPr>
            <w:r>
              <w:t xml:space="preserve">-</w:t>
            </w:r>
            <w:r/>
          </w:p>
        </w:tc>
      </w:tr>
      <w:tr>
        <w:tblPrEx/>
        <w:trPr/>
        <w:tc>
          <w:tcPr>
            <w:tcW w:w="864" w:type="dxa"/>
            <w:vAlign w:val="center"/>
            <w:textDirection w:val="lrTb"/>
            <w:noWrap w:val="false"/>
          </w:tcPr>
          <w:p>
            <w:pPr>
              <w:pStyle w:val="1035"/>
              <w:numPr>
                <w:ilvl w:val="0"/>
                <w:numId w:val="2"/>
              </w:numPr>
              <w:jc w:val="center"/>
              <w:spacing w:before="60" w:after="60"/>
            </w:pPr>
            <w:r/>
            <w:r/>
          </w:p>
        </w:tc>
        <w:tc>
          <w:tcPr>
            <w:tcW w:w="10596" w:type="dxa"/>
            <w:vAlign w:val="center"/>
            <w:textDirection w:val="lrTb"/>
            <w:noWrap w:val="false"/>
          </w:tcPr>
          <w:p>
            <w:pPr>
              <w:spacing w:before="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разделах ТТ)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20" w:type="dxa"/>
            <w:vAlign w:val="center"/>
            <w:vMerge w:val="continue"/>
            <w:textDirection w:val="lrTb"/>
            <w:noWrap w:val="false"/>
          </w:tcPr>
          <w:p>
            <w:r/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64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sz w:val="24"/>
              </w:rPr>
            </w:pPr>
            <w:r>
              <w:rPr>
                <w:sz w:val="24"/>
              </w:rPr>
              <w:t xml:space="preserve">3.3.1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10596" w:type="dxa"/>
            <w:textDirection w:val="lrTb"/>
            <w:noWrap w:val="false"/>
          </w:tcPr>
          <w:p>
            <w:pPr>
              <w:numPr>
                <w:ilvl w:val="0"/>
                <w:numId w:val="12"/>
              </w:numPr>
              <w:ind w:left="142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Градостроительный кодекс РФ.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numPr>
                <w:ilvl w:val="0"/>
                <w:numId w:val="12"/>
              </w:numPr>
              <w:ind w:left="142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ФНиП «Правил безопасности химически опасных производственных объектов».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numPr>
                <w:ilvl w:val="0"/>
                <w:numId w:val="12"/>
              </w:numPr>
              <w:ind w:left="142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Федеральный закон от 23.11.2009 №261-Ф3 «Об энергосбережении и повышении энергетической эффективности и о внесении изменений в отдельные законодательные акты РФ».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numPr>
                <w:ilvl w:val="0"/>
                <w:numId w:val="12"/>
              </w:numPr>
              <w:ind w:left="142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Федеральный закон от 27.12.2002 №184-ФЗ «О техническом регулировании».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numPr>
                <w:ilvl w:val="0"/>
                <w:numId w:val="12"/>
              </w:numPr>
              <w:ind w:left="142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Федеральный закон от 30.12.2009 № 84-ФЗ «Технический регламент о безопасности зданий и сооружений.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numPr>
                <w:ilvl w:val="0"/>
                <w:numId w:val="12"/>
              </w:numPr>
              <w:ind w:left="142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Федеральный закон от 22.07.2008 №123-ФЗ «Технический регламент о требованиях пожарной безопасности».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numPr>
                <w:ilvl w:val="0"/>
                <w:numId w:val="12"/>
              </w:numPr>
              <w:ind w:left="142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Технический регламент Таможенного союза ТР ТС 010/2011 «</w:t>
            </w:r>
            <w:r>
              <w:rPr>
                <w:sz w:val="24"/>
                <w:szCs w:val="24"/>
              </w:rPr>
              <w:t xml:space="preserve">О безопасности машин и оборудования, утверждённый комиссией Таможенного союза 18.10.2011 №823.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numPr>
                <w:ilvl w:val="0"/>
                <w:numId w:val="12"/>
              </w:numPr>
              <w:ind w:left="142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ПУЭ «Правила устройства электроустановок», 6 и 7 издания (с изменениями).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numPr>
                <w:ilvl w:val="0"/>
                <w:numId w:val="12"/>
              </w:numPr>
              <w:ind w:left="142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 256.1325800.2016 «Электроустановки жилых и общественных зданий. Правила проектирован</w:t>
            </w:r>
            <w:r>
              <w:rPr>
                <w:sz w:val="24"/>
                <w:szCs w:val="24"/>
              </w:rPr>
              <w:t xml:space="preserve">ия и монтажа».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numPr>
                <w:ilvl w:val="0"/>
                <w:numId w:val="12"/>
              </w:numPr>
              <w:ind w:left="142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РТМ 36.18.32.4-92 «Указания по расчету электрических нагрузок»</w:t>
            </w:r>
            <w:r>
              <w:rPr>
                <w:sz w:val="24"/>
                <w:szCs w:val="24"/>
              </w:rPr>
              <w:t xml:space="preserve">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numPr>
                <w:ilvl w:val="0"/>
                <w:numId w:val="12"/>
              </w:numPr>
              <w:ind w:left="142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ГОСТ 31565 – 2012 «Кабельные изделия. Требования пожарной</w:t>
            </w:r>
            <w:r>
              <w:rPr>
                <w:sz w:val="24"/>
                <w:szCs w:val="24"/>
              </w:rPr>
              <w:t xml:space="preserve"> безопасности». Актуализированная редакция СНиП 31-06- 2009 (п. 7.19).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numPr>
                <w:ilvl w:val="0"/>
                <w:numId w:val="12"/>
              </w:numPr>
              <w:ind w:left="142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Федеральный закон № 261-ФЗ «Об энергосбережении</w:t>
            </w:r>
            <w:r>
              <w:t xml:space="preserve"> </w:t>
            </w:r>
            <w:r>
              <w:rPr>
                <w:sz w:val="24"/>
                <w:szCs w:val="24"/>
              </w:rPr>
              <w:t xml:space="preserve">и о повышении энергетической эффективности и о внесении изменений в отдельные законодательные акты Российской Федерации» от 23.11.2</w:t>
            </w:r>
            <w:r>
              <w:rPr>
                <w:sz w:val="24"/>
                <w:szCs w:val="24"/>
              </w:rPr>
              <w:t xml:space="preserve">009.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numPr>
                <w:ilvl w:val="0"/>
                <w:numId w:val="12"/>
              </w:numPr>
              <w:ind w:left="142" w:firstLine="0"/>
              <w:jc w:val="both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Федеральный закон №</w:t>
            </w:r>
            <w:r>
              <w:rPr>
                <w:sz w:val="24"/>
                <w:szCs w:val="24"/>
                <w:highlight w:val="none"/>
              </w:rPr>
              <w:t xml:space="preserve">116 ФЗ «</w:t>
            </w:r>
            <w:r>
              <w:rPr>
                <w:sz w:val="24"/>
                <w:szCs w:val="24"/>
                <w:highlight w:val="none"/>
              </w:rPr>
              <w:t xml:space="preserve">О промышленной безопасности опасных производственных объектов</w:t>
            </w:r>
            <w:r>
              <w:rPr>
                <w:sz w:val="24"/>
                <w:szCs w:val="24"/>
                <w:highlight w:val="none"/>
              </w:rPr>
              <w:t xml:space="preserve">».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numPr>
                <w:ilvl w:val="0"/>
                <w:numId w:val="12"/>
              </w:numPr>
              <w:ind w:left="142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 48.13330.2019 «Организация строительства».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numPr>
                <w:ilvl w:val="0"/>
                <w:numId w:val="12"/>
              </w:numPr>
              <w:ind w:left="142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СНиП 3.05.07-85 «Системы автоматизации».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numPr>
                <w:ilvl w:val="0"/>
                <w:numId w:val="12"/>
              </w:numPr>
              <w:ind w:left="142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СНиП 3.05.06-85 «Электротехнические устройства».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numPr>
                <w:ilvl w:val="0"/>
                <w:numId w:val="12"/>
              </w:numPr>
              <w:ind w:left="142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СНиП II-58-75 «Электрост</w:t>
            </w:r>
            <w:r>
              <w:rPr>
                <w:sz w:val="24"/>
                <w:szCs w:val="24"/>
              </w:rPr>
              <w:t xml:space="preserve">анции тепловые».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numPr>
                <w:ilvl w:val="0"/>
                <w:numId w:val="12"/>
              </w:numPr>
              <w:ind w:left="142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ГОСТ 24.104-85 «Автоматизированные системы управления. Общие требования».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numPr>
                <w:ilvl w:val="0"/>
                <w:numId w:val="12"/>
              </w:numPr>
              <w:ind w:left="142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ГОСТ 34.603-92 «Виды испытаний автоматизированных систем».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numPr>
                <w:ilvl w:val="0"/>
                <w:numId w:val="12"/>
              </w:numPr>
              <w:ind w:left="142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ГОСТ 12.2.003-91 «Система стандартов безопасности труда. Оборудование производственное. Общие требования б</w:t>
            </w:r>
            <w:r>
              <w:rPr>
                <w:sz w:val="24"/>
                <w:szCs w:val="24"/>
              </w:rPr>
              <w:t xml:space="preserve">езопасности</w:t>
            </w:r>
            <w:r>
              <w:rPr>
                <w:sz w:val="24"/>
                <w:szCs w:val="24"/>
              </w:rPr>
              <w:t xml:space="preserve">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numPr>
                <w:ilvl w:val="0"/>
                <w:numId w:val="12"/>
              </w:numPr>
              <w:ind w:left="142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РД 34.03.201-97 «Правила техники безопасности при эксплуатации тепломеханического оборудования электростанций и тепловых сетей».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numPr>
                <w:ilvl w:val="0"/>
                <w:numId w:val="12"/>
              </w:numPr>
              <w:ind w:left="142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«Правила по охране труда при эксплуатации электроустановок» Приказ Минтруда России от 15.12.2020 №903н.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numPr>
                <w:ilvl w:val="0"/>
                <w:numId w:val="12"/>
              </w:numPr>
              <w:ind w:left="142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Приказ Минтруда России от 27.11.2020 №835н «Об утверждении Правил по охране труда при работе с инструментом и приспособлениями».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numPr>
                <w:ilvl w:val="0"/>
                <w:numId w:val="12"/>
              </w:numPr>
              <w:ind w:left="142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РД 153-34.0-03.301-00 «Правила пожарной безопасности для энергетических предприятий».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numPr>
                <w:ilvl w:val="0"/>
                <w:numId w:val="12"/>
              </w:numPr>
              <w:ind w:left="142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Приказ Минэнерго России от 04.10.2022 №10</w:t>
            </w:r>
            <w:r>
              <w:rPr>
                <w:sz w:val="24"/>
                <w:szCs w:val="24"/>
              </w:rPr>
              <w:t xml:space="preserve">70 «Об утверждении Правил технической эксплуатации электрических станций и сетей Российской Федерации и о внесении изменений в приказы Минэнерго России от 13.09.2018 №757, от 12.07.2018 №548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numPr>
                <w:ilvl w:val="0"/>
                <w:numId w:val="12"/>
              </w:numPr>
              <w:ind w:left="142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РД 34.03.284-96 «Инструкция по организации и производству работ п</w:t>
            </w:r>
            <w:r>
              <w:rPr>
                <w:sz w:val="24"/>
                <w:szCs w:val="24"/>
              </w:rPr>
              <w:t xml:space="preserve">овышенной опасности».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numPr>
                <w:ilvl w:val="0"/>
                <w:numId w:val="12"/>
              </w:numPr>
              <w:ind w:left="14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Заводские инструкции и ТУ на оборудование.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numPr>
                <w:ilvl w:val="0"/>
                <w:numId w:val="12"/>
              </w:numPr>
              <w:ind w:left="14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color w:val="212121"/>
                <w:sz w:val="24"/>
                <w:szCs w:val="24"/>
                <w:highlight w:val="white"/>
                <w:u w:val="none"/>
              </w:rPr>
              <w:t xml:space="preserve">РД 34.45-51.300-97 «Объемы и нормы испытания электрооборудования».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Другие технические регламенты, строительные нормы и правила, федеральные нормы и правила, государственные отраслевые стандарт, стандарты организации.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0" w:type="dxa"/>
            <w:vAlign w:val="center"/>
            <w:vMerge w:val="continue"/>
            <w:textDirection w:val="lrTb"/>
            <w:noWrap w:val="false"/>
          </w:tcPr>
          <w:p>
            <w:r/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1036"/>
              <w:keepNext w:val="0"/>
              <w:outlineLvl w:val="2"/>
            </w:pPr>
            <w:r>
              <w:t xml:space="preserve">-</w:t>
            </w:r>
            <w:r/>
          </w:p>
          <w:p>
            <w:pPr>
              <w:pStyle w:val="1036"/>
              <w:keepNext w:val="0"/>
              <w:outlineLvl w:val="2"/>
            </w:pPr>
            <w:r/>
            <w:r/>
          </w:p>
        </w:tc>
      </w:tr>
      <w:tr>
        <w:tblPrEx/>
        <w:trPr/>
        <w:tc>
          <w:tcPr>
            <w:tcW w:w="864" w:type="dxa"/>
            <w:vAlign w:val="center"/>
            <w:textDirection w:val="lrTb"/>
            <w:noWrap w:val="false"/>
          </w:tcPr>
          <w:p>
            <w:pPr>
              <w:pStyle w:val="1035"/>
              <w:numPr>
                <w:ilvl w:val="0"/>
                <w:numId w:val="2"/>
              </w:numPr>
              <w:jc w:val="center"/>
              <w:spacing w:before="60" w:after="60"/>
            </w:pPr>
            <w:r/>
            <w:r/>
          </w:p>
        </w:tc>
        <w:tc>
          <w:tcPr>
            <w:tcW w:w="10596" w:type="dxa"/>
            <w:vAlign w:val="center"/>
            <w:textDirection w:val="lrTb"/>
            <w:noWrap w:val="false"/>
          </w:tcPr>
          <w:p>
            <w:pPr>
              <w:spacing w:before="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ответственности и гарантиям подрядчика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20" w:type="dxa"/>
            <w:vAlign w:val="center"/>
            <w:vMerge w:val="continue"/>
            <w:textDirection w:val="lrTb"/>
            <w:noWrap w:val="false"/>
          </w:tcPr>
          <w:p>
            <w:r/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64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4.1.1.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0596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ответственности подрядчика подробно указаны в договоре подряда </w:t>
            </w:r>
            <w:r>
              <w:rPr>
                <w:i/>
                <w:sz w:val="24"/>
                <w:szCs w:val="24"/>
              </w:rPr>
              <w:t xml:space="preserve">(раздел 6)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0" w:type="dxa"/>
            <w:vAlign w:val="center"/>
            <w:vMerge w:val="continue"/>
            <w:textDirection w:val="lrTb"/>
            <w:noWrap w:val="false"/>
          </w:tcPr>
          <w:p>
            <w:r/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before="4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-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864" w:type="dxa"/>
            <w:vAlign w:val="center"/>
            <w:textDirection w:val="lrTb"/>
            <w:noWrap w:val="false"/>
          </w:tcPr>
          <w:p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4.1.2.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0596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гарантии подрядчик подробно указано в договоре подряда </w:t>
            </w:r>
            <w:r>
              <w:rPr>
                <w:i/>
                <w:sz w:val="24"/>
                <w:szCs w:val="24"/>
              </w:rPr>
              <w:t xml:space="preserve">(раздел 7)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0" w:type="dxa"/>
            <w:vAlign w:val="center"/>
            <w:vMerge w:val="continue"/>
            <w:textDirection w:val="lrTb"/>
            <w:noWrap w:val="false"/>
          </w:tcPr>
          <w:p>
            <w:r/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64" w:type="dxa"/>
            <w:vAlign w:val="center"/>
            <w:textDirection w:val="lrTb"/>
            <w:noWrap w:val="false"/>
          </w:tcPr>
          <w:p>
            <w:pPr>
              <w:pStyle w:val="1035"/>
              <w:numPr>
                <w:ilvl w:val="0"/>
                <w:numId w:val="2"/>
              </w:numPr>
              <w:jc w:val="center"/>
              <w:spacing w:before="60" w:after="60"/>
            </w:pPr>
            <w:r/>
            <w:r/>
          </w:p>
        </w:tc>
        <w:tc>
          <w:tcPr>
            <w:tcW w:w="10596" w:type="dxa"/>
            <w:vAlign w:val="center"/>
            <w:textDirection w:val="lrTb"/>
            <w:noWrap w:val="false"/>
          </w:tcPr>
          <w:p>
            <w:pPr>
              <w:keepNext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подрядчику (и субподрядчикам) и его обязательствам, влияющим на исполнение договора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20" w:type="dxa"/>
            <w:vAlign w:val="center"/>
            <w:vMerge w:val="continue"/>
            <w:textDirection w:val="lrTb"/>
            <w:noWrap w:val="false"/>
          </w:tcPr>
          <w:p>
            <w:r/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-//-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864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5.1.1.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0596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обязательствам подрядчика, влияющим на исполнение договора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0" w:type="dxa"/>
            <w:vAlign w:val="center"/>
            <w:vMerge w:val="continue"/>
            <w:textDirection w:val="lrTb"/>
            <w:noWrap w:val="false"/>
          </w:tcPr>
          <w:p>
            <w:r/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1036"/>
              <w:keepNext w:val="0"/>
              <w:outlineLvl w:val="2"/>
            </w:pPr>
            <w:r>
              <w:t xml:space="preserve">-</w:t>
            </w:r>
            <w:r/>
          </w:p>
        </w:tc>
      </w:tr>
      <w:tr>
        <w:tblPrEx/>
        <w:trPr>
          <w:trHeight w:val="43"/>
        </w:trPr>
        <w:tc>
          <w:tcPr>
            <w:tcW w:w="864" w:type="dxa"/>
            <w:vAlign w:val="center"/>
            <w:vMerge w:val="continue"/>
            <w:textDirection w:val="lrTb"/>
            <w:noWrap w:val="false"/>
          </w:tcPr>
          <w:p>
            <w:pPr>
              <w:ind w:left="568"/>
              <w:jc w:val="center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0596" w:type="dxa"/>
            <w:vAlign w:val="center"/>
            <w:textDirection w:val="lrTb"/>
            <w:noWrap w:val="false"/>
          </w:tcPr>
          <w:p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обязательствам подрядчика подробно указаны в договоре подряда (</w:t>
            </w:r>
            <w:r>
              <w:rPr>
                <w:i/>
                <w:sz w:val="24"/>
                <w:szCs w:val="24"/>
              </w:rPr>
              <w:t xml:space="preserve">раздел 2)</w: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</w:r>
          </w:p>
        </w:tc>
        <w:tc>
          <w:tcPr>
            <w:tcW w:w="2120" w:type="dxa"/>
            <w:vAlign w:val="center"/>
            <w:vMerge w:val="continue"/>
            <w:textDirection w:val="lrTb"/>
            <w:noWrap w:val="false"/>
          </w:tcPr>
          <w:p>
            <w:r/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1036"/>
              <w:keepNext w:val="0"/>
              <w:outlineLvl w:val="2"/>
            </w:pPr>
            <w:r/>
            <w:r/>
          </w:p>
        </w:tc>
      </w:tr>
      <w:tr>
        <w:tblPrEx/>
        <w:trPr>
          <w:trHeight w:val="276"/>
        </w:trPr>
        <w:tc>
          <w:tcPr>
            <w:tcW w:w="86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5.1.2.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0596" w:type="dxa"/>
            <w:vAlign w:val="center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Требования к субподрядным организациям привлекаемым к выполнению работ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20" w:type="dxa"/>
            <w:vAlign w:val="center"/>
            <w:vMerge w:val="continue"/>
            <w:textDirection w:val="lrTb"/>
            <w:noWrap w:val="false"/>
          </w:tcPr>
          <w:p>
            <w:r/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1036"/>
              <w:keepNext w:val="0"/>
              <w:outlineLvl w:val="2"/>
            </w:pPr>
            <w:r>
              <w:t xml:space="preserve">-</w:t>
            </w:r>
            <w:r/>
          </w:p>
        </w:tc>
      </w:tr>
      <w:tr>
        <w:tblPrEx/>
        <w:trPr/>
        <w:tc>
          <w:tcPr>
            <w:tcW w:w="86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0596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В случае привлечения к выполнению работ субподрядных организаций, подрядчик обязан письменно согласовать с Заказчиком привлекаемую субподрядную организацию с предоставлением заказчику на момент согласования договора субподряда документов, подтверждающие со</w:t>
            </w:r>
            <w:r>
              <w:rPr>
                <w:i/>
                <w:iCs/>
                <w:sz w:val="24"/>
                <w:szCs w:val="24"/>
              </w:rPr>
              <w:t xml:space="preserve">ответствие их квалификационного уровня, а также готовность и возможность выполнения ими работ, а также документы указанные в п .2.4.2 договора подряда.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120" w:type="dxa"/>
            <w:vAlign w:val="center"/>
            <w:vMerge w:val="continue"/>
            <w:textDirection w:val="lrTb"/>
            <w:noWrap w:val="false"/>
          </w:tcPr>
          <w:p>
            <w:r/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1036"/>
              <w:keepNext w:val="0"/>
              <w:outlineLvl w:val="2"/>
            </w:pPr>
            <w:r>
              <w:t xml:space="preserve">-</w:t>
            </w:r>
            <w:r/>
          </w:p>
        </w:tc>
      </w:tr>
      <w:tr>
        <w:tblPrEx/>
        <w:trPr>
          <w:trHeight w:val="276"/>
        </w:trPr>
        <w:tc>
          <w:tcPr>
            <w:tcW w:w="86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0596" w:type="dxa"/>
            <w:vAlign w:val="center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Прочие требования к выполняемым работам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20" w:type="dxa"/>
            <w:vAlign w:val="center"/>
            <w:vMerge w:val="continue"/>
            <w:textDirection w:val="lrTb"/>
            <w:noWrap w:val="false"/>
          </w:tcPr>
          <w:p>
            <w:r/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1036"/>
              <w:keepNext w:val="0"/>
              <w:outlineLvl w:val="2"/>
            </w:pPr>
            <w:r>
              <w:t xml:space="preserve">-</w:t>
            </w:r>
            <w:r/>
          </w:p>
        </w:tc>
      </w:tr>
      <w:tr>
        <w:tblPrEx/>
        <w:trPr>
          <w:trHeight w:val="77"/>
        </w:trPr>
        <w:tc>
          <w:tcPr>
            <w:tcW w:w="86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0596" w:type="dxa"/>
            <w:vAlign w:val="center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Работы выполняются согласно условиям договора подряда и настоящих технических требований.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20" w:type="dxa"/>
            <w:vAlign w:val="center"/>
            <w:vMerge w:val="continue"/>
            <w:textDirection w:val="lrTb"/>
            <w:noWrap w:val="false"/>
          </w:tcPr>
          <w:p>
            <w:r/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pStyle w:val="1036"/>
              <w:keepNext w:val="0"/>
              <w:outlineLvl w:val="2"/>
            </w:pPr>
            <w:r/>
            <w:r/>
          </w:p>
        </w:tc>
      </w:tr>
      <w:tr>
        <w:tblPrEx/>
        <w:trPr>
          <w:trHeight w:val="77"/>
        </w:trPr>
        <w:tc>
          <w:tcPr>
            <w:tcW w:w="86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7.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  <w:tc>
          <w:tcPr>
            <w:tcW w:w="10596" w:type="dxa"/>
            <w:vAlign w:val="center"/>
            <w:vMerge w:val="restart"/>
            <w:textDirection w:val="lrTb"/>
            <w:noWrap w:val="false"/>
          </w:tcPr>
          <w:p>
            <w:pPr>
              <w:keepNext/>
              <w:spacing w:before="60" w:after="60"/>
              <w:rPr>
                <w:highlight w:val="none"/>
                <w14:ligatures w14:val="none"/>
              </w:rPr>
            </w:pPr>
            <w:r>
              <w:rPr>
                <w:b/>
                <w:bCs/>
                <w:sz w:val="24"/>
                <w:szCs w:val="24"/>
                <w:highlight w:val="none"/>
              </w:rPr>
              <w:t xml:space="preserve">Требования к победителю по Лоту 22123004</w:t>
            </w:r>
            <w:r>
              <w:rPr>
                <w:highlight w:val="none"/>
                <w14:ligatures w14:val="none"/>
              </w:rPr>
            </w:r>
            <w:r>
              <w:rPr>
                <w:highlight w:val="none"/>
                <w14:ligatures w14:val="none"/>
              </w:rPr>
            </w:r>
          </w:p>
        </w:tc>
        <w:tc>
          <w:tcPr>
            <w:tcW w:w="2120" w:type="dxa"/>
            <w:vAlign w:val="center"/>
            <w:vMerge w:val="continue"/>
            <w:textDirection w:val="lrTb"/>
            <w:noWrap w:val="false"/>
          </w:tcPr>
          <w:p>
            <w:r/>
          </w:p>
        </w:tc>
        <w:tc>
          <w:tcPr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-//-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77"/>
        </w:trPr>
        <w:tc>
          <w:tcPr>
            <w:tcW w:w="86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sz w:val="24"/>
                <w:szCs w:val="24"/>
                <w:highlight w:val="none"/>
              </w:rPr>
              <w:t xml:space="preserve">7.1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  <w:tc>
          <w:tcPr>
            <w:gridSpan w:val="3"/>
            <w:tcW w:w="15125" w:type="dxa"/>
            <w:vAlign w:val="center"/>
            <w:vMerge w:val="restart"/>
            <w:textDirection w:val="lrTb"/>
            <w:noWrap w:val="false"/>
          </w:tcPr>
          <w:p>
            <w:pPr>
              <w:jc w:val="left"/>
              <w:spacing w:after="0" w:line="240" w:lineRule="auto"/>
              <w:rPr>
                <w:rFonts w:ascii="Times New Roman" w:hAnsi="Times New Roman" w:eastAsia="Times New Roman" w:cs="Times New Roman"/>
                <w:b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Участник, признанный </w:t>
            </w: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</w:rPr>
              <w:t xml:space="preserve">победителем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 закупочной процедуры, в течение 5 (пяти) рабочих дней после размещения протокола подведения итогов закупки на сайте </w:t>
            </w:r>
            <w:hyperlink r:id="rId15" w:tooltip="http://www.zakupki.gov.ru" w:history="1">
              <w:r>
                <w:rPr>
                  <w:rStyle w:val="1006"/>
                  <w:rFonts w:ascii="Times New Roman" w:hAnsi="Times New Roman" w:eastAsia="Times New Roman" w:cs="Times New Roman"/>
                  <w:sz w:val="24"/>
                  <w:szCs w:val="24"/>
                  <w:highlight w:val="none"/>
                </w:rPr>
                <w:t xml:space="preserve">www.zakupki.gov.ru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 (до заключения договора), должен предоставить в адрес Заказчика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на электронный адре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hyperlink r:id="rId16" w:tooltip="mailto:kolousov-iv@dgk.ru" w:history="1">
              <w:r>
                <w:rPr>
                  <w:rStyle w:val="1006"/>
                  <w:rFonts w:ascii="Times New Roman" w:hAnsi="Times New Roman" w:eastAsia="Times New Roman" w:cs="Times New Roman"/>
                  <w:sz w:val="24"/>
                  <w:szCs w:val="24"/>
                  <w:highlight w:val="none"/>
                  <w:lang w:eastAsia="ru-RU"/>
                </w:rPr>
                <w:t xml:space="preserve">kolousov-iv@dgk.ru</w:t>
              </w:r>
            </w:hyperlink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дополнительные документы.</w:t>
            </w:r>
            <w:r>
              <w:rPr>
                <w:rFonts w:ascii="Times New Roman" w:hAnsi="Times New Roman" w:eastAsia="Times New Roman" w:cs="Times New Roman"/>
                <w:b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highlight w:val="none"/>
              </w:rPr>
            </w:r>
          </w:p>
          <w:p>
            <w:pPr>
              <w:jc w:val="left"/>
              <w:keepNext/>
              <w:spacing w:before="60" w:after="60"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В случае не предоставления документов, указанных в данном пункте Технических требо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ваний в установленный срок, в соответствии с условиями Документации о закупке, Победитель призн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ается уклонившимся от заключения Договора и утрачивает статус Победителя, а Закупочная комиссия имеет право выбрать в качестве Победителя иного Участника, занявшего следующее место в ранжировке заявок после Победителя, из числа остальных допущенных заявок.</w:t>
            </w: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</w:tc>
      </w:tr>
      <w:tr>
        <w:tblPrEx/>
        <w:trPr>
          <w:trHeight w:val="77"/>
        </w:trPr>
        <w:tc>
          <w:tcPr>
            <w:tcW w:w="86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b w:val="0"/>
                <w:bCs w:val="0"/>
                <w:sz w:val="24"/>
                <w:szCs w:val="24"/>
                <w:highlight w:val="none"/>
              </w:rPr>
              <w:t xml:space="preserve">7.2</w:t>
            </w:r>
            <w:r>
              <w:rPr>
                <w:b w:val="0"/>
                <w:bCs w:val="0"/>
                <w:sz w:val="24"/>
                <w:szCs w:val="24"/>
                <w:highlight w:val="none"/>
              </w:rPr>
            </w:r>
            <w:r>
              <w:rPr>
                <w:b w:val="0"/>
                <w:bCs w:val="0"/>
                <w:sz w:val="24"/>
                <w:szCs w:val="24"/>
                <w:highlight w:val="none"/>
              </w:rPr>
            </w:r>
          </w:p>
        </w:tc>
        <w:tc>
          <w:tcPr>
            <w:tcW w:w="10596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  <w:u w:val="singl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highlight w:val="none"/>
                <w:u w:val="single"/>
              </w:rPr>
              <w:t xml:space="preserve">Требования к кадровым ресурсам победителя: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  <w:u w:val="single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none"/>
                <w:u w:val="single"/>
              </w:rPr>
            </w:r>
          </w:p>
          <w:p>
            <w:pPr>
              <w:ind w:left="0" w:firstLine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Согласно требован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:lang w:eastAsia="ru-RU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:lang w:eastAsia="ru-RU"/>
              </w:rPr>
              <w:t xml:space="preserve">я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:lang w:eastAsia="ru-RU"/>
              </w:rPr>
              <w:t xml:space="preserve">п.92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:lang w:eastAsia="ru-RU"/>
              </w:rPr>
              <w:t xml:space="preserve">Постановления правительства Российской федерации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:lang w:eastAsia="ru-RU"/>
              </w:rPr>
              <w:t xml:space="preserve"> от 24.12.2021 г.№2464 «О порядке обучения по охране труда и проверки знаний требований охран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:lang w:eastAsia="ru-RU"/>
              </w:rPr>
              <w:t xml:space="preserve">ы труда»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:lang w:eastAsia="ru-RU"/>
              </w:rPr>
              <w:t xml:space="preserve">: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eastAsia="en-US" w:bidi="ru-RU"/>
              </w:rPr>
              <w:t xml:space="preserve">меть в наличие не менее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eastAsia="en-US" w:bidi="ar-SA"/>
              </w:rPr>
              <w:t xml:space="preserve">  3 человек (руководитель, производитель работ и всех членов бригады) документы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eastAsia="en-US" w:bidi="ar-SA"/>
              </w:rPr>
              <w:t xml:space="preserve">проверки знаний требований охраны труда.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highlight w:val="none"/>
                <w14:ligatures w14:val="none"/>
              </w:rPr>
            </w:r>
          </w:p>
        </w:tc>
        <w:tc>
          <w:tcPr>
            <w:gridSpan w:val="2"/>
            <w:tcW w:w="4529" w:type="dxa"/>
            <w:vAlign w:val="center"/>
            <w:vMerge w:val="restart"/>
            <w:textDirection w:val="lrTb"/>
            <w:noWrap w:val="false"/>
          </w:tcPr>
          <w:p>
            <w:pPr>
              <w:pStyle w:val="836"/>
              <w:ind w:left="0" w:right="141" w:firstLine="0"/>
              <w:jc w:val="left"/>
              <w:spacing w:before="0" w:after="0" w:line="240" w:lineRule="auto"/>
              <w:widowControl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val="ru-RU" w:eastAsia="en-US" w:bidi="ar-SA"/>
              </w:rPr>
              <w:t xml:space="preserve">1.Копиями документов проверки знаний требований охраны труда обученных лиц, не менее чем на 3 человек, (руководитель, производитель работ и всех членов бригады), которые будут непосредственно на объектах выполнять работы по Наряду-допуску.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</w:tc>
      </w:tr>
    </w:tbl>
    <w:p>
      <w:pPr>
        <w:rPr>
          <w:b/>
          <w:i/>
          <w:sz w:val="24"/>
          <w:szCs w:val="24"/>
        </w:rPr>
        <w:sectPr>
          <w:headerReference w:type="even" r:id="rId9"/>
          <w:headerReference w:type="first" r:id="rId10"/>
          <w:footerReference w:type="default" r:id="rId11"/>
          <w:footerReference w:type="first" r:id="rId12"/>
          <w:footnotePr/>
          <w:endnotePr/>
          <w:type w:val="nextPage"/>
          <w:pgSz w:w="16838" w:h="11906" w:orient="landscape"/>
          <w:pgMar w:top="851" w:right="567" w:bottom="851" w:left="992" w:header="680" w:footer="154" w:gutter="0"/>
          <w:cols w:num="1" w:sep="0" w:space="708" w:equalWidth="1"/>
          <w:docGrid w:linePitch="360"/>
          <w:titlePg/>
        </w:sectPr>
      </w:pP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pStyle w:val="837"/>
        <w:ind w:left="357" w:hanging="357"/>
        <w:jc w:val="center"/>
        <w:keepLines/>
        <w:rPr>
          <w:sz w:val="24"/>
          <w:szCs w:val="24"/>
        </w:rPr>
      </w:pPr>
      <w:r/>
      <w:bookmarkStart w:id="36" w:name="_Toc53393312"/>
      <w:r/>
      <w:bookmarkStart w:id="37" w:name="_Toc54646411"/>
      <w:r/>
      <w:bookmarkStart w:id="38" w:name="_Toc46743519"/>
      <w:r/>
      <w:bookmarkStart w:id="39" w:name="_Toc51339699"/>
      <w:r>
        <w:rPr>
          <w:sz w:val="24"/>
          <w:szCs w:val="24"/>
        </w:rPr>
        <w:t xml:space="preserve">ТРЕБОВАНИЯ К ДОКУМЕНТАЦИИ ПО ЦЕНООБРАЗОВАНИЮ</w:t>
      </w:r>
      <w:bookmarkEnd w:id="36"/>
      <w:r>
        <w:rPr>
          <w:sz w:val="24"/>
          <w:szCs w:val="24"/>
        </w:rPr>
        <w:t xml:space="preserve"> НА ЭТАПЕ ЗАКУПКИ</w:t>
      </w:r>
      <w:bookmarkEnd w:id="3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3.1.</w:t>
      </w:r>
      <w:r>
        <w:rPr>
          <w:sz w:val="24"/>
          <w:szCs w:val="24"/>
        </w:rPr>
        <w:tab/>
      </w:r>
      <w:r>
        <w:rPr>
          <w:sz w:val="24"/>
          <w:szCs w:val="24"/>
        </w:rPr>
        <w:t xml:space="preserve">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 </w:t>
      </w:r>
      <w:r>
        <w:rPr>
          <w:sz w:val="24"/>
          <w:szCs w:val="24"/>
        </w:rPr>
        <w:t xml:space="preserve">(с указанием понижающего коэффициента)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3.2.</w:t>
      </w:r>
      <w:r>
        <w:rPr>
          <w:sz w:val="24"/>
          <w:szCs w:val="24"/>
        </w:rPr>
        <w:tab/>
        <w:t xml:space="preserve">Дополнительные документы по ценообразованию (сметная документаци</w:t>
      </w:r>
      <w:r>
        <w:rPr>
          <w:sz w:val="24"/>
          <w:szCs w:val="24"/>
        </w:rPr>
        <w:t xml:space="preserve">я) в состав заявки Участника не включаются.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7"/>
        <w:ind w:left="0" w:right="0" w:firstLine="709"/>
        <w:jc w:val="center"/>
        <w:keepLines/>
        <w:rPr>
          <w:sz w:val="24"/>
          <w:szCs w:val="24"/>
        </w:rPr>
      </w:pPr>
      <w:r/>
      <w:bookmarkStart w:id="40" w:name="_Toc54646412"/>
      <w:r>
        <w:rPr>
          <w:sz w:val="24"/>
          <w:szCs w:val="24"/>
        </w:rPr>
        <w:t xml:space="preserve">ТРЕБОВАНИЯ К ДОКУМЕНТАЦИИ ПО ЦЕНООБРАЗОВАНИЮ НА ЭТАПЕ ЗАКЛЮЧЕНИЯ (ИСПОЛНЕНИЯ) ДОГОВОРА</w:t>
      </w:r>
      <w:bookmarkEnd w:id="40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 w:val="0"/>
        <w:ind w:left="0" w:right="0" w:firstLine="709"/>
        <w:jc w:val="both"/>
        <w:spacing w:line="240" w:lineRule="auto"/>
        <w:shd w:val="clear" w:color="auto" w:fill="ffffff"/>
        <w:tabs>
          <w:tab w:val="left" w:pos="0" w:leader="none"/>
        </w:tabs>
        <w:rPr>
          <w:color w:val="000000" w:themeColor="text1"/>
          <w:sz w:val="24"/>
          <w:szCs w:val="24"/>
          <w:highlight w:val="white"/>
        </w:rPr>
        <w:suppressLineNumbers w:val="0"/>
      </w:pPr>
      <w:r>
        <w:rPr>
          <w:sz w:val="24"/>
          <w:szCs w:val="24"/>
        </w:rPr>
        <w:t xml:space="preserve">4.1. П</w:t>
      </w:r>
      <w:r>
        <w:rPr>
          <w:sz w:val="24"/>
          <w:szCs w:val="24"/>
        </w:rPr>
        <w:t xml:space="preserve">о результатам настоящей закупки заключается договор с предельной ценой</w:t>
      </w:r>
      <w:r>
        <w:rPr>
          <w:sz w:val="24"/>
          <w:szCs w:val="24"/>
        </w:rPr>
        <w:t xml:space="preserve">, </w:t>
      </w:r>
      <w:r>
        <w:rPr>
          <w:color w:val="000000" w:themeColor="text1"/>
          <w:sz w:val="24"/>
          <w:szCs w:val="24"/>
          <w:highlight w:val="none"/>
        </w:rPr>
        <w:t xml:space="preserve">т</w:t>
      </w:r>
      <w:r>
        <w:rPr>
          <w:color w:val="000000" w:themeColor="text1"/>
          <w:sz w:val="24"/>
          <w:szCs w:val="24"/>
          <w:highlight w:val="white"/>
        </w:rPr>
        <w:t xml:space="preserve">вердой </w:t>
      </w:r>
      <w:r>
        <w:rPr>
          <w:bCs/>
          <w:color w:val="000000" w:themeColor="text1"/>
          <w:sz w:val="24"/>
          <w:szCs w:val="24"/>
          <w:highlight w:val="white"/>
        </w:rPr>
        <w:t xml:space="preserve">ценой Оборудо</w:t>
      </w:r>
      <w:r>
        <w:rPr>
          <w:bCs/>
          <w:color w:val="000000" w:themeColor="text1"/>
          <w:sz w:val="24"/>
          <w:szCs w:val="24"/>
          <w:highlight w:val="white"/>
        </w:rPr>
        <w:t xml:space="preserve">вания, 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bCs/>
          <w:color w:val="000000" w:themeColor="text1"/>
          <w:sz w:val="24"/>
          <w:szCs w:val="24"/>
          <w:highlight w:val="white"/>
        </w:rPr>
        <w:t xml:space="preserve">Твердой </w:t>
      </w:r>
      <w:r>
        <w:rPr>
          <w:bCs/>
          <w:color w:val="000000" w:themeColor="text1"/>
          <w:sz w:val="24"/>
          <w:szCs w:val="24"/>
          <w:highlight w:val="white"/>
        </w:rPr>
        <w:t xml:space="preserve">ценой Работ (без учета </w:t>
      </w:r>
      <w:r>
        <w:rPr>
          <w:color w:val="000000" w:themeColor="text1"/>
          <w:sz w:val="24"/>
          <w:szCs w:val="24"/>
          <w:highlight w:val="white"/>
        </w:rPr>
        <w:t xml:space="preserve">Материалов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color w:val="000000" w:themeColor="text1"/>
          <w:sz w:val="24"/>
          <w:szCs w:val="24"/>
          <w:highlight w:val="white"/>
        </w:rPr>
        <w:t xml:space="preserve">и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bCs/>
          <w:color w:val="000000" w:themeColor="text1"/>
          <w:sz w:val="24"/>
          <w:szCs w:val="24"/>
          <w:highlight w:val="white"/>
        </w:rPr>
        <w:t xml:space="preserve">О</w:t>
      </w:r>
      <w:r>
        <w:rPr>
          <w:color w:val="000000" w:themeColor="text1"/>
          <w:sz w:val="24"/>
          <w:szCs w:val="24"/>
          <w:highlight w:val="white"/>
        </w:rPr>
        <w:t xml:space="preserve">борудования</w:t>
      </w:r>
      <w:r>
        <w:rPr>
          <w:bCs/>
          <w:color w:val="000000" w:themeColor="text1"/>
          <w:sz w:val="24"/>
          <w:szCs w:val="24"/>
          <w:highlight w:val="white"/>
        </w:rPr>
        <w:t xml:space="preserve">)</w:t>
      </w:r>
      <w:r>
        <w:rPr>
          <w:bCs/>
          <w:color w:val="000000" w:themeColor="text1"/>
          <w:sz w:val="24"/>
          <w:szCs w:val="24"/>
          <w:highlight w:val="white"/>
        </w:rPr>
        <w:t xml:space="preserve">.</w:t>
      </w:r>
      <w:r>
        <w:rPr>
          <w:bCs/>
          <w:color w:val="000000" w:themeColor="text1"/>
          <w:sz w:val="24"/>
          <w:szCs w:val="24"/>
          <w:highlight w:val="white"/>
        </w:rPr>
        <w:t xml:space="preserve"> 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left="0" w:firstLine="708"/>
        <w:jc w:val="both"/>
        <w:spacing w:before="60" w:after="60"/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highlight w:val="yellow"/>
        </w:rPr>
      </w:pPr>
      <w:r>
        <w:rPr>
          <w:color w:val="000000" w:themeColor="text1"/>
          <w:sz w:val="24"/>
          <w:szCs w:val="24"/>
          <w:highlight w:val="none"/>
        </w:rPr>
        <w:t xml:space="preserve">4.1.1.</w:t>
      </w:r>
      <w:r>
        <w:rPr>
          <w:rFonts w:ascii="Times New Roman" w:hAnsi="Times New Roman" w:eastAsia="Times New Roman" w:cs="Times New Roman"/>
          <w:bCs/>
          <w:i w:val="0"/>
          <w:iCs w:val="0"/>
          <w:color w:val="000000" w:themeColor="text1"/>
          <w:sz w:val="24"/>
          <w:szCs w:val="24"/>
        </w:rPr>
        <w:t xml:space="preserve">Сметная документация </w:t>
      </w:r>
      <w:r>
        <w:rPr>
          <w:rFonts w:ascii="Times New Roman" w:hAnsi="Times New Roman" w:eastAsia="Times New Roman" w:cs="Times New Roman"/>
          <w:bCs/>
          <w:i w:val="0"/>
          <w:iCs w:val="0"/>
          <w:color w:val="000000" w:themeColor="text1"/>
          <w:sz w:val="24"/>
          <w:szCs w:val="24"/>
        </w:rPr>
        <w:t xml:space="preserve">разработана</w:t>
      </w:r>
      <w:r>
        <w:rPr>
          <w:rFonts w:ascii="Times New Roman" w:hAnsi="Times New Roman" w:eastAsia="Times New Roman" w:cs="Times New Roman"/>
          <w:bCs/>
          <w:i w:val="0"/>
          <w:iCs w:val="0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Cs/>
          <w:i w:val="0"/>
          <w:iCs w:val="0"/>
          <w:color w:val="000000" w:themeColor="text1"/>
          <w:sz w:val="24"/>
          <w:szCs w:val="24"/>
        </w:rPr>
        <w:t xml:space="preserve">заказчиком в рамках определения начальной (максимальной) цены договора в соответствии с требованиями, указанными в приложении №</w:t>
      </w:r>
      <w:r>
        <w:rPr>
          <w:rFonts w:ascii="Times New Roman" w:hAnsi="Times New Roman" w:eastAsia="Times New Roman" w:cs="Times New Roman"/>
          <w:bCs/>
          <w:i w:val="0"/>
          <w:iCs w:val="0"/>
          <w:color w:val="000000" w:themeColor="text1"/>
          <w:sz w:val="24"/>
          <w:szCs w:val="24"/>
        </w:rPr>
        <w:t xml:space="preserve">1</w:t>
      </w:r>
      <w:r>
        <w:rPr>
          <w:rFonts w:ascii="Times New Roman" w:hAnsi="Times New Roman" w:eastAsia="Times New Roman" w:cs="Times New Roman"/>
          <w:bCs/>
          <w:i w:val="0"/>
          <w:iCs w:val="0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Cs/>
          <w:i w:val="0"/>
          <w:iCs w:val="0"/>
          <w:color w:val="000000" w:themeColor="text1"/>
          <w:sz w:val="24"/>
          <w:szCs w:val="24"/>
        </w:rPr>
        <w:t xml:space="preserve">к </w:t>
      </w:r>
      <w:r>
        <w:rPr>
          <w:rFonts w:ascii="Times New Roman" w:hAnsi="Times New Roman" w:eastAsia="Times New Roman" w:cs="Times New Roman"/>
          <w:bCs/>
          <w:i w:val="0"/>
          <w:iCs w:val="0"/>
          <w:color w:val="000000" w:themeColor="text1"/>
          <w:sz w:val="24"/>
          <w:szCs w:val="24"/>
        </w:rPr>
        <w:t xml:space="preserve">настоящим </w:t>
      </w:r>
      <w:r>
        <w:rPr>
          <w:rFonts w:ascii="Times New Roman" w:hAnsi="Times New Roman" w:eastAsia="Times New Roman" w:cs="Times New Roman"/>
          <w:bCs/>
          <w:i w:val="0"/>
          <w:iCs w:val="0"/>
          <w:color w:val="000000" w:themeColor="text1"/>
          <w:sz w:val="24"/>
          <w:szCs w:val="24"/>
        </w:rPr>
        <w:t xml:space="preserve">Техническим требованиям, и включается в состав договора с применением понижающего коэффициента, </w:t>
      </w:r>
      <w:r>
        <w:rPr>
          <w:rFonts w:ascii="Times New Roman" w:hAnsi="Times New Roman" w:eastAsia="Times New Roman" w:cs="Times New Roman"/>
          <w:bCs/>
          <w:i w:val="0"/>
          <w:iCs w:val="0"/>
          <w:color w:val="000000" w:themeColor="text1"/>
          <w:sz w:val="24"/>
          <w:szCs w:val="24"/>
        </w:rPr>
        <w:t xml:space="preserve">указанного в заявке </w:t>
      </w:r>
      <w:r>
        <w:rPr>
          <w:rFonts w:ascii="Times New Roman" w:hAnsi="Times New Roman" w:eastAsia="Times New Roman" w:cs="Times New Roman"/>
          <w:bCs/>
          <w:i w:val="0"/>
          <w:iCs w:val="0"/>
          <w:color w:val="000000" w:themeColor="text1"/>
          <w:sz w:val="24"/>
          <w:szCs w:val="24"/>
        </w:rPr>
        <w:t xml:space="preserve">Участника</w:t>
      </w:r>
      <w:r>
        <w:rPr>
          <w:rFonts w:ascii="Times New Roman" w:hAnsi="Times New Roman" w:eastAsia="Times New Roman" w:cs="Times New Roman"/>
          <w:bCs/>
          <w:i w:val="0"/>
          <w:iCs w:val="0"/>
          <w:color w:val="000000" w:themeColor="text1"/>
          <w:sz w:val="24"/>
          <w:szCs w:val="24"/>
        </w:rPr>
        <w:t xml:space="preserve">, с которым принято решение заключить договор</w:t>
      </w:r>
      <w:r>
        <w:rPr>
          <w:rFonts w:ascii="Times New Roman" w:hAnsi="Times New Roman" w:eastAsia="Times New Roman" w:cs="Times New Roman"/>
          <w:bCs/>
          <w:i w:val="0"/>
          <w:iCs w:val="0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eastAsia="Times New Roman" w:cs="Times New Roman"/>
          <w:bCs/>
          <w:i w:val="0"/>
          <w:iCs w:val="0"/>
          <w:color w:val="000000" w:themeColor="text1"/>
          <w:sz w:val="24"/>
          <w:szCs w:val="24"/>
        </w:rPr>
        <w:t xml:space="preserve">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</w:t>
      </w:r>
      <w:r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highlight w:val="yellow"/>
        </w:rPr>
      </w:r>
      <w:r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  <w:highlight w:val="yellow"/>
        </w:rPr>
      </w:r>
    </w:p>
    <w:p>
      <w:pPr>
        <w:ind w:left="0" w:firstLine="708"/>
        <w:jc w:val="both"/>
        <w:spacing w:before="60" w:after="60"/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Cs/>
          <w:i w:val="0"/>
          <w:iCs w:val="0"/>
          <w:color w:val="000000" w:themeColor="text1"/>
          <w:sz w:val="24"/>
          <w:szCs w:val="24"/>
        </w:rPr>
        <w:t xml:space="preserve">4.1.2. Внесение изменений в сметную документацию заказчика, кроме применения понижающего коэффициента в соответствии с п.</w:t>
      </w:r>
      <w:r>
        <w:rPr>
          <w:rFonts w:ascii="Times New Roman" w:hAnsi="Times New Roman" w:eastAsia="Times New Roman" w:cs="Times New Roman"/>
          <w:bCs/>
          <w:i w:val="0"/>
          <w:iCs w:val="0"/>
          <w:color w:val="000000" w:themeColor="text1"/>
          <w:sz w:val="24"/>
          <w:szCs w:val="24"/>
        </w:rPr>
        <w:fldChar w:fldCharType="begin"/>
      </w:r>
      <w:r>
        <w:rPr>
          <w:rFonts w:ascii="Times New Roman" w:hAnsi="Times New Roman" w:eastAsia="Times New Roman" w:cs="Times New Roman"/>
          <w:bCs/>
          <w:i w:val="0"/>
          <w:iCs w:val="0"/>
          <w:color w:val="000000" w:themeColor="text1"/>
          <w:sz w:val="24"/>
          <w:szCs w:val="24"/>
        </w:rPr>
        <w:instrText xml:space="preserve"> REF _Ref54278740 \r \h </w:instrText>
      </w:r>
      <w:r>
        <w:rPr>
          <w:rFonts w:ascii="Times New Roman" w:hAnsi="Times New Roman" w:eastAsia="Times New Roman" w:cs="Times New Roman"/>
          <w:bCs/>
          <w:i w:val="0"/>
          <w:iCs w:val="0"/>
          <w:color w:val="000000" w:themeColor="text1"/>
          <w:sz w:val="24"/>
          <w:szCs w:val="24"/>
        </w:rPr>
        <w:instrText xml:space="preserve"> \* MERGEFORMAT </w:instrText>
      </w:r>
      <w:r>
        <w:rPr>
          <w:rFonts w:ascii="Times New Roman" w:hAnsi="Times New Roman" w:eastAsia="Times New Roman" w:cs="Times New Roman"/>
          <w:bCs/>
          <w:i w:val="0"/>
          <w:iCs w:val="0"/>
          <w:color w:val="000000" w:themeColor="text1"/>
          <w:sz w:val="24"/>
          <w:szCs w:val="24"/>
        </w:rPr>
        <w:fldChar w:fldCharType="separate"/>
      </w:r>
      <w:r>
        <w:rPr>
          <w:rFonts w:ascii="Times New Roman" w:hAnsi="Times New Roman" w:eastAsia="Times New Roman" w:cs="Times New Roman"/>
          <w:bCs/>
          <w:i w:val="0"/>
          <w:iCs w:val="0"/>
          <w:color w:val="000000" w:themeColor="text1"/>
          <w:sz w:val="24"/>
          <w:szCs w:val="24"/>
        </w:rPr>
        <w:t xml:space="preserve">4.1</w:t>
      </w:r>
      <w:r>
        <w:rPr>
          <w:rFonts w:ascii="Times New Roman" w:hAnsi="Times New Roman" w:eastAsia="Times New Roman" w:cs="Times New Roman"/>
          <w:bCs/>
          <w:i w:val="0"/>
          <w:iCs w:val="0"/>
          <w:color w:val="000000" w:themeColor="text1"/>
          <w:sz w:val="24"/>
          <w:szCs w:val="24"/>
        </w:rPr>
        <w:fldChar w:fldCharType="end"/>
      </w:r>
      <w:r>
        <w:rPr>
          <w:rFonts w:ascii="Times New Roman" w:hAnsi="Times New Roman" w:eastAsia="Times New Roman" w:cs="Times New Roman"/>
          <w:bCs/>
          <w:i w:val="0"/>
          <w:iCs w:val="0"/>
          <w:color w:val="000000" w:themeColor="text1"/>
          <w:sz w:val="24"/>
          <w:szCs w:val="24"/>
        </w:rPr>
        <w:t xml:space="preserve">.1</w:t>
      </w:r>
      <w:r>
        <w:rPr>
          <w:rFonts w:ascii="Times New Roman" w:hAnsi="Times New Roman" w:eastAsia="Times New Roman" w:cs="Times New Roman"/>
          <w:bCs/>
          <w:i w:val="0"/>
          <w:iCs w:val="0"/>
          <w:color w:val="000000" w:themeColor="text1"/>
          <w:sz w:val="24"/>
          <w:szCs w:val="24"/>
        </w:rPr>
        <w:t xml:space="preserve">, не допускается.</w:t>
      </w: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highlight w:val="none"/>
        </w:rPr>
      </w:r>
    </w:p>
    <w:p>
      <w:pPr>
        <w:ind w:left="0" w:firstLine="708"/>
        <w:jc w:val="both"/>
        <w:spacing w:before="60" w:after="60"/>
        <w:rPr>
          <w:rFonts w:ascii="Times New Roman" w:hAnsi="Times New Roman" w:eastAsia="Times New Roman" w:cs="Times New Roman"/>
          <w:bCs w:val="0"/>
          <w:i w:val="0"/>
          <w:color w:val="000000" w:themeColor="text1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i w:val="0"/>
          <w:iCs w:val="0"/>
          <w:color w:val="000000" w:themeColor="text1"/>
          <w:sz w:val="24"/>
          <w:szCs w:val="24"/>
        </w:rPr>
      </w:r>
      <w:r>
        <w:rPr>
          <w:rFonts w:ascii="Times New Roman" w:hAnsi="Times New Roman" w:eastAsia="Times New Roman" w:cs="Times New Roman"/>
          <w:i w:val="0"/>
          <w:iCs w:val="0"/>
          <w:color w:val="000000" w:themeColor="text1"/>
          <w:sz w:val="24"/>
          <w:szCs w:val="24"/>
        </w:rPr>
        <w:t xml:space="preserve">4.1.3. В сметной документации предусмотрен резерв средств на непредвиденные работы и затраты в размере 3%.</w:t>
      </w:r>
      <w:r>
        <w:rPr>
          <w:rFonts w:ascii="Times New Roman" w:hAnsi="Times New Roman" w:eastAsia="Times New Roman" w:cs="Times New Roman"/>
          <w:bCs w:val="0"/>
          <w:i w:val="0"/>
          <w:color w:val="000000" w:themeColor="text1"/>
          <w:sz w:val="24"/>
          <w:szCs w:val="24"/>
          <w14:ligatures w14:val="none"/>
        </w:rPr>
      </w:r>
      <w:r>
        <w:rPr>
          <w:rFonts w:ascii="Times New Roman" w:hAnsi="Times New Roman" w:eastAsia="Times New Roman" w:cs="Times New Roman"/>
          <w:bCs w:val="0"/>
          <w:i w:val="0"/>
          <w:color w:val="000000" w:themeColor="text1"/>
          <w:sz w:val="24"/>
          <w:szCs w:val="24"/>
          <w14:ligatures w14:val="none"/>
        </w:rPr>
      </w:r>
    </w:p>
    <w:p>
      <w:pPr>
        <w:ind w:left="0" w:right="0" w:firstLine="709"/>
        <w:jc w:val="both"/>
        <w:tabs>
          <w:tab w:val="left" w:pos="0" w:leader="none"/>
        </w:tabs>
        <w:rPr>
          <w:bCs/>
          <w:i/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</w:rPr>
        <w:t xml:space="preserve">4.2. </w:t>
      </w:r>
      <w:r>
        <w:rPr>
          <w:color w:val="000000" w:themeColor="text1"/>
          <w:sz w:val="24"/>
          <w:szCs w:val="24"/>
        </w:rPr>
        <w:t xml:space="preserve">Требования к составлению сметной документации (на этапе исполнения договора):</w:t>
      </w:r>
      <w:r>
        <w:rPr>
          <w:bCs/>
          <w:i/>
          <w:color w:val="000000" w:themeColor="text1"/>
          <w:sz w:val="24"/>
          <w:szCs w:val="24"/>
          <w:highlight w:val="none"/>
        </w:rPr>
      </w:r>
      <w:r>
        <w:rPr>
          <w:bCs/>
          <w:i/>
          <w:color w:val="000000" w:themeColor="text1"/>
          <w:sz w:val="24"/>
          <w:szCs w:val="24"/>
          <w:highlight w:val="none"/>
        </w:rPr>
      </w:r>
    </w:p>
    <w:p>
      <w:pPr>
        <w:ind w:left="0" w:right="0" w:firstLine="709"/>
        <w:jc w:val="both"/>
        <w:tabs>
          <w:tab w:val="left" w:pos="0" w:leader="none"/>
        </w:tabs>
        <w:rPr>
          <w:color w:val="000000" w:themeColor="text1"/>
          <w:sz w:val="24"/>
          <w:szCs w:val="24"/>
          <w14:ligatures w14:val="none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  <w:t xml:space="preserve">4</w:t>
      </w:r>
      <w:r>
        <w:rPr>
          <w:color w:val="000000" w:themeColor="text1"/>
          <w:sz w:val="24"/>
          <w:szCs w:val="24"/>
        </w:rPr>
        <w:t xml:space="preserve">.2.1. 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 в соответствии с требованиями, указанными в приложении № 1 к настоящим Техническим требован</w:t>
      </w:r>
      <w:r>
        <w:rPr>
          <w:color w:val="000000" w:themeColor="text1"/>
          <w:sz w:val="24"/>
          <w:szCs w:val="24"/>
        </w:rPr>
        <w:t xml:space="preserve">иям, с применением понижающего коэффициента, определенного по результатам конкурентной процедуры (п. 4.1.1).</w:t>
      </w:r>
      <w:r>
        <w:rPr>
          <w:color w:val="000000" w:themeColor="text1"/>
          <w:sz w:val="24"/>
          <w:szCs w:val="24"/>
          <w14:ligatures w14:val="none"/>
        </w:rPr>
      </w:r>
      <w:r>
        <w:rPr>
          <w:color w:val="000000" w:themeColor="text1"/>
          <w:sz w:val="24"/>
          <w:szCs w:val="24"/>
          <w14:ligatures w14:val="none"/>
        </w:rPr>
      </w:r>
    </w:p>
    <w:p>
      <w:pPr>
        <w:contextualSpacing w:val="0"/>
        <w:ind w:left="0" w:right="0" w:firstLine="709"/>
        <w:jc w:val="both"/>
        <w:spacing w:line="240" w:lineRule="auto"/>
        <w:shd w:val="clear" w:color="auto" w:fill="ffffff"/>
        <w:tabs>
          <w:tab w:val="left" w:pos="0" w:leader="none"/>
        </w:tabs>
        <w:rPr>
          <w:sz w:val="24"/>
          <w:szCs w:val="24"/>
          <w:highlight w:val="white"/>
        </w:rPr>
        <w:suppressLineNumbers w:val="0"/>
      </w:pPr>
      <w:r>
        <w:rPr>
          <w:sz w:val="24"/>
          <w:szCs w:val="24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837"/>
        <w:ind w:left="357" w:hanging="357"/>
        <w:jc w:val="center"/>
        <w:keepLines/>
        <w:spacing w:before="0" w:after="0"/>
        <w:rPr>
          <w:iCs/>
          <w:caps/>
          <w:sz w:val="24"/>
          <w:szCs w:val="24"/>
        </w:rPr>
      </w:pPr>
      <w:r/>
      <w:bookmarkStart w:id="41" w:name="_Toc54646413"/>
      <w:r>
        <w:rPr>
          <w:iCs/>
          <w:sz w:val="24"/>
          <w:szCs w:val="24"/>
        </w:rPr>
        <w:t xml:space="preserve">ПРИЛОЖЕНИЯ</w:t>
      </w:r>
      <w:bookmarkEnd w:id="38"/>
      <w:r/>
      <w:bookmarkEnd w:id="39"/>
      <w:r/>
      <w:bookmarkEnd w:id="41"/>
      <w:r>
        <w:rPr>
          <w:bCs/>
          <w:sz w:val="24"/>
          <w:szCs w:val="24"/>
        </w:rPr>
        <w:t xml:space="preserve"> </w:t>
      </w:r>
      <w:r>
        <w:rPr>
          <w:iCs/>
          <w:caps/>
          <w:sz w:val="24"/>
          <w:szCs w:val="24"/>
        </w:rPr>
      </w:r>
      <w:r>
        <w:rPr>
          <w:iCs/>
          <w:caps/>
          <w:sz w:val="24"/>
          <w:szCs w:val="24"/>
        </w:rPr>
      </w:r>
    </w:p>
    <w:p>
      <w:pPr>
        <w:pStyle w:val="1035"/>
        <w:numPr>
          <w:ilvl w:val="0"/>
          <w:numId w:val="20"/>
        </w:numPr>
        <w:ind w:left="283" w:right="0" w:hanging="278"/>
        <w:tabs>
          <w:tab w:val="left" w:pos="-108" w:leader="none"/>
          <w:tab w:val="left" w:pos="320" w:leader="none"/>
        </w:tabs>
        <w:rPr>
          <w:highlight w:val="none"/>
        </w:rPr>
      </w:pP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</w:rPr>
        <w:t xml:space="preserve">Приложение №1 Требования к оформлению и составлению документации по ценообразованию</w:t>
      </w:r>
      <w:r>
        <w:rPr>
          <w:bCs/>
          <w:sz w:val="24"/>
          <w:szCs w:val="24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1035"/>
        <w:numPr>
          <w:ilvl w:val="0"/>
          <w:numId w:val="20"/>
        </w:numPr>
        <w:ind w:left="283" w:right="0" w:hanging="278"/>
        <w:tabs>
          <w:tab w:val="left" w:pos="-108" w:leader="none"/>
          <w:tab w:val="left" w:pos="320" w:leader="none"/>
        </w:tabs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Приложение №2.1 </w:t>
      </w:r>
      <w:r>
        <w:rPr>
          <w:highlight w:val="none"/>
        </w:rPr>
        <w:t xml:space="preserve">Ведомость объемов работ </w:t>
      </w:r>
      <w:r>
        <w:rPr>
          <w:highlight w:val="none"/>
        </w:rPr>
        <w:t xml:space="preserve">№ЭИ 25-18-ПИР-03.1-СМ</w:t>
      </w:r>
      <w:r>
        <w:rPr>
          <w:bCs/>
          <w:sz w:val="24"/>
          <w:szCs w:val="24"/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1035"/>
        <w:numPr>
          <w:ilvl w:val="0"/>
          <w:numId w:val="20"/>
        </w:numPr>
        <w:ind w:left="283" w:right="0" w:hanging="278"/>
        <w:tabs>
          <w:tab w:val="left" w:pos="-108" w:leader="none"/>
          <w:tab w:val="left" w:pos="320" w:leader="none"/>
        </w:tabs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Приложение №2.2 </w:t>
      </w:r>
      <w:r>
        <w:rPr>
          <w:highlight w:val="none"/>
        </w:rPr>
        <w:t xml:space="preserve">Ведомость объемов работ </w:t>
      </w:r>
      <w:r>
        <w:rPr>
          <w:highlight w:val="none"/>
        </w:rPr>
        <w:t xml:space="preserve">№ЭИ 25-18-ПИР-03.2-СМ</w:t>
      </w:r>
      <w:r>
        <w:rPr>
          <w:bCs/>
          <w:sz w:val="24"/>
          <w:szCs w:val="24"/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1035"/>
        <w:numPr>
          <w:ilvl w:val="0"/>
          <w:numId w:val="20"/>
        </w:numPr>
        <w:ind w:left="283" w:right="0" w:hanging="278"/>
        <w:tabs>
          <w:tab w:val="left" w:pos="-108" w:leader="none"/>
          <w:tab w:val="left" w:pos="320" w:leader="none"/>
        </w:tabs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Приложение №2.3 </w:t>
      </w:r>
      <w:r>
        <w:rPr>
          <w:highlight w:val="none"/>
        </w:rPr>
        <w:t xml:space="preserve">Ведомость объемов работ </w:t>
      </w:r>
      <w:r>
        <w:rPr>
          <w:highlight w:val="none"/>
        </w:rPr>
        <w:t xml:space="preserve">№ЭИ 25-18-ПИР-03.3-СМ</w:t>
      </w:r>
      <w:r>
        <w:rPr>
          <w:bCs/>
          <w:sz w:val="24"/>
          <w:szCs w:val="24"/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1035"/>
        <w:numPr>
          <w:ilvl w:val="0"/>
          <w:numId w:val="20"/>
        </w:numPr>
        <w:ind w:left="283" w:right="0" w:hanging="278"/>
        <w:tabs>
          <w:tab w:val="left" w:pos="-108" w:leader="none"/>
          <w:tab w:val="left" w:pos="320" w:leader="none"/>
        </w:tabs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Приложение №2.4 </w:t>
      </w:r>
      <w:r>
        <w:rPr>
          <w:highlight w:val="none"/>
        </w:rPr>
        <w:t xml:space="preserve">Ведомость объемов работ </w:t>
      </w:r>
      <w:r>
        <w:rPr>
          <w:highlight w:val="none"/>
        </w:rPr>
        <w:t xml:space="preserve">№ЭИ 25-18-ПИР-03.4-СМ</w:t>
      </w:r>
      <w:r>
        <w:rPr>
          <w:bCs/>
          <w:sz w:val="24"/>
          <w:szCs w:val="24"/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1035"/>
        <w:numPr>
          <w:ilvl w:val="0"/>
          <w:numId w:val="20"/>
        </w:numPr>
        <w:ind w:left="283" w:right="0" w:hanging="278"/>
        <w:tabs>
          <w:tab w:val="left" w:pos="-108" w:leader="none"/>
          <w:tab w:val="left" w:pos="320" w:leader="none"/>
        </w:tabs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Приложение №2.5 </w:t>
      </w:r>
      <w:r>
        <w:rPr>
          <w:highlight w:val="none"/>
        </w:rPr>
        <w:t xml:space="preserve">Ведомость объемов работ </w:t>
      </w:r>
      <w:r>
        <w:rPr>
          <w:highlight w:val="none"/>
        </w:rPr>
        <w:t xml:space="preserve">№ЭИ 25-18-ПИР-03-СМ.ПНР</w:t>
      </w:r>
      <w:r>
        <w:rPr>
          <w:bCs/>
          <w:sz w:val="24"/>
          <w:szCs w:val="24"/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1035"/>
        <w:numPr>
          <w:ilvl w:val="0"/>
          <w:numId w:val="20"/>
        </w:numPr>
        <w:ind w:left="283" w:right="0" w:hanging="278"/>
        <w:tabs>
          <w:tab w:val="left" w:pos="-108" w:leader="none"/>
          <w:tab w:val="left" w:pos="320" w:leader="none"/>
        </w:tabs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Приложение №3 </w:t>
      </w:r>
      <w:r>
        <w:rPr>
          <w:bCs/>
          <w:sz w:val="24"/>
          <w:szCs w:val="24"/>
          <w:highlight w:val="none"/>
        </w:rPr>
        <w:t xml:space="preserve">РД по шифру </w:t>
      </w:r>
      <w:r>
        <w:rPr>
          <w:bCs/>
          <w:sz w:val="24"/>
          <w:szCs w:val="24"/>
          <w:highlight w:val="none"/>
        </w:rPr>
        <w:t xml:space="preserve">ЭИ 25-18-ПИР</w:t>
      </w:r>
      <w:r>
        <w:rPr>
          <w:bCs/>
          <w:sz w:val="24"/>
          <w:szCs w:val="24"/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1035"/>
        <w:numPr>
          <w:ilvl w:val="0"/>
          <w:numId w:val="20"/>
        </w:numPr>
        <w:ind w:left="283" w:right="0" w:hanging="278"/>
        <w:tabs>
          <w:tab w:val="left" w:pos="-108" w:leader="none"/>
          <w:tab w:val="left" w:pos="320" w:leader="none"/>
        </w:tabs>
        <w:rPr>
          <w:highlight w:val="none"/>
        </w:rPr>
      </w:pPr>
      <w:r>
        <w:rPr>
          <w:bCs/>
          <w:sz w:val="24"/>
          <w:szCs w:val="24"/>
          <w:highlight w:val="none"/>
        </w:rPr>
        <w:t xml:space="preserve">Приложение №4 </w:t>
      </w:r>
      <w:r>
        <w:rPr>
          <w:bCs/>
          <w:sz w:val="23"/>
          <w:szCs w:val="23"/>
          <w:highlight w:val="none"/>
        </w:rPr>
        <w:t xml:space="preserve">Положения о допуске персонала подрядных организаций к </w:t>
      </w:r>
      <w:r>
        <w:rPr>
          <w:bCs/>
          <w:sz w:val="23"/>
          <w:szCs w:val="23"/>
          <w:highlight w:val="none"/>
        </w:rPr>
        <w:t xml:space="preserve">выполнению работ на </w:t>
      </w:r>
      <w:r>
        <w:rPr>
          <w:bCs/>
          <w:sz w:val="23"/>
          <w:szCs w:val="23"/>
          <w:highlight w:val="none"/>
        </w:rPr>
        <w:t xml:space="preserve">объектах АО «ДГК».</w:t>
      </w:r>
      <w:r>
        <w:rPr>
          <w:highlight w:val="none"/>
        </w:rPr>
      </w:r>
      <w:r>
        <w:rPr>
          <w:highlight w:val="none"/>
        </w:rPr>
      </w:r>
    </w:p>
    <w:p>
      <w:pPr>
        <w:pStyle w:val="1035"/>
        <w:numPr>
          <w:ilvl w:val="0"/>
          <w:numId w:val="20"/>
        </w:numPr>
        <w:ind w:left="283" w:right="0" w:hanging="278"/>
        <w:tabs>
          <w:tab w:val="left" w:pos="-108" w:leader="none"/>
          <w:tab w:val="left" w:pos="320" w:leader="none"/>
        </w:tabs>
        <w:rPr>
          <w:highlight w:val="none"/>
        </w:rPr>
      </w:pPr>
      <w:r>
        <w:rPr>
          <w:highlight w:val="none"/>
        </w:rPr>
      </w:r>
      <w:r>
        <w:rPr>
          <w:bCs/>
          <w:sz w:val="24"/>
          <w:szCs w:val="24"/>
          <w:highlight w:val="none"/>
        </w:rPr>
        <w:t xml:space="preserve">Приложение №</w:t>
      </w:r>
      <w:r>
        <w:rPr>
          <w:bCs/>
          <w:sz w:val="24"/>
          <w:szCs w:val="24"/>
          <w:highlight w:val="none"/>
        </w:rPr>
        <w:t xml:space="preserve">5.1 Ведомость ресурсов подрядчика №</w:t>
      </w:r>
      <w:r>
        <w:rPr>
          <w:bCs/>
          <w:sz w:val="24"/>
          <w:szCs w:val="24"/>
          <w:highlight w:val="none"/>
        </w:rPr>
        <w:t xml:space="preserve">ЭИ 25-18-ПИР-03.1</w:t>
      </w:r>
      <w:r>
        <w:rPr>
          <w:bCs/>
          <w:sz w:val="24"/>
          <w:szCs w:val="24"/>
          <w:highlight w:val="none"/>
        </w:rPr>
        <w:t xml:space="preserve">-СМ</w:t>
      </w:r>
      <w:r>
        <w:rPr>
          <w:highlight w:val="none"/>
        </w:rPr>
      </w:r>
      <w:r>
        <w:rPr>
          <w:highlight w:val="none"/>
        </w:rPr>
      </w:r>
    </w:p>
    <w:p>
      <w:pPr>
        <w:pStyle w:val="1035"/>
        <w:numPr>
          <w:ilvl w:val="0"/>
          <w:numId w:val="20"/>
        </w:numPr>
        <w:ind w:left="283" w:right="0" w:hanging="278"/>
        <w:tabs>
          <w:tab w:val="left" w:pos="-108" w:leader="none"/>
          <w:tab w:val="left" w:pos="320" w:leader="none"/>
        </w:tabs>
        <w:rPr>
          <w:highlight w:val="none"/>
        </w:rPr>
      </w:pP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  <w:t xml:space="preserve">Приложение №</w:t>
      </w:r>
      <w:r>
        <w:rPr>
          <w:bCs/>
          <w:sz w:val="24"/>
          <w:szCs w:val="24"/>
          <w:highlight w:val="none"/>
        </w:rPr>
        <w:t xml:space="preserve">5.2 Ведомость ресурсов подрядчика</w:t>
      </w:r>
      <w:r>
        <w:rPr>
          <w:bCs/>
          <w:sz w:val="24"/>
          <w:szCs w:val="24"/>
          <w:highlight w:val="none"/>
        </w:rPr>
        <w:t xml:space="preserve"> №</w:t>
      </w:r>
      <w:r>
        <w:rPr>
          <w:bCs/>
          <w:sz w:val="24"/>
          <w:szCs w:val="24"/>
          <w:highlight w:val="none"/>
        </w:rPr>
        <w:t xml:space="preserve">ЭИ 25-18-ПИР-03.2</w:t>
      </w:r>
      <w:r>
        <w:rPr>
          <w:bCs/>
          <w:sz w:val="24"/>
          <w:szCs w:val="24"/>
          <w:highlight w:val="none"/>
        </w:rPr>
        <w:t xml:space="preserve">-СМ</w:t>
      </w:r>
      <w:r>
        <w:rPr>
          <w:bCs/>
          <w:sz w:val="24"/>
          <w:szCs w:val="24"/>
          <w:highlight w:val="none"/>
        </w:rPr>
      </w:r>
      <w:r>
        <w:rPr>
          <w:highlight w:val="none"/>
        </w:rPr>
      </w:r>
    </w:p>
    <w:p>
      <w:pPr>
        <w:pStyle w:val="1035"/>
        <w:numPr>
          <w:ilvl w:val="0"/>
          <w:numId w:val="20"/>
        </w:numPr>
        <w:ind w:left="283" w:right="0" w:hanging="278"/>
        <w:tabs>
          <w:tab w:val="left" w:pos="-108" w:leader="none"/>
          <w:tab w:val="left" w:pos="320" w:leader="none"/>
        </w:tabs>
        <w:rPr>
          <w:highlight w:val="none"/>
        </w:rPr>
      </w:pP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  <w:t xml:space="preserve">Приложение №</w:t>
      </w:r>
      <w:r>
        <w:rPr>
          <w:bCs/>
          <w:sz w:val="24"/>
          <w:szCs w:val="24"/>
          <w:highlight w:val="none"/>
        </w:rPr>
        <w:t xml:space="preserve">5.3 Ведомость ресурсов подрядчика</w:t>
      </w:r>
      <w:r>
        <w:rPr>
          <w:bCs/>
          <w:sz w:val="24"/>
          <w:szCs w:val="24"/>
          <w:highlight w:val="none"/>
        </w:rPr>
        <w:t xml:space="preserve"> №</w:t>
      </w:r>
      <w:r>
        <w:rPr>
          <w:bCs/>
          <w:sz w:val="24"/>
          <w:szCs w:val="24"/>
          <w:highlight w:val="none"/>
        </w:rPr>
        <w:t xml:space="preserve">ЭИ 25-18-ПИР-03.3</w:t>
      </w:r>
      <w:r>
        <w:rPr>
          <w:bCs/>
          <w:sz w:val="24"/>
          <w:szCs w:val="24"/>
          <w:highlight w:val="none"/>
        </w:rPr>
        <w:t xml:space="preserve">-СМ</w:t>
      </w:r>
      <w:r>
        <w:rPr>
          <w:bCs/>
          <w:sz w:val="24"/>
          <w:szCs w:val="24"/>
          <w:highlight w:val="none"/>
        </w:rPr>
      </w:r>
      <w:r>
        <w:rPr>
          <w:highlight w:val="none"/>
        </w:rPr>
      </w:r>
    </w:p>
    <w:p>
      <w:pPr>
        <w:pStyle w:val="1035"/>
        <w:numPr>
          <w:ilvl w:val="0"/>
          <w:numId w:val="20"/>
        </w:numPr>
        <w:ind w:left="283" w:right="0" w:hanging="278"/>
        <w:tabs>
          <w:tab w:val="left" w:pos="-108" w:leader="none"/>
          <w:tab w:val="left" w:pos="320" w:leader="none"/>
        </w:tabs>
        <w:rPr>
          <w:highlight w:val="none"/>
        </w:rPr>
      </w:pP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  <w:t xml:space="preserve">Приложение №</w:t>
      </w:r>
      <w:r>
        <w:rPr>
          <w:bCs/>
          <w:sz w:val="24"/>
          <w:szCs w:val="24"/>
          <w:highlight w:val="none"/>
        </w:rPr>
        <w:t xml:space="preserve">5.4 Ведомость ресурсов подрядчика</w:t>
      </w:r>
      <w:r>
        <w:rPr>
          <w:bCs/>
          <w:sz w:val="24"/>
          <w:szCs w:val="24"/>
          <w:highlight w:val="none"/>
        </w:rPr>
        <w:t xml:space="preserve"> №</w:t>
      </w:r>
      <w:r>
        <w:rPr>
          <w:bCs/>
          <w:sz w:val="24"/>
          <w:szCs w:val="24"/>
          <w:highlight w:val="none"/>
        </w:rPr>
        <w:t xml:space="preserve">ЭИ 25-18-ПИР-03.4</w:t>
      </w:r>
      <w:r>
        <w:rPr>
          <w:bCs/>
          <w:sz w:val="24"/>
          <w:szCs w:val="24"/>
          <w:highlight w:val="none"/>
        </w:rPr>
        <w:t xml:space="preserve">-СМ</w:t>
      </w:r>
      <w:r>
        <w:rPr>
          <w:bCs/>
          <w:sz w:val="24"/>
          <w:szCs w:val="24"/>
          <w:highlight w:val="none"/>
        </w:rPr>
      </w:r>
      <w:r>
        <w:rPr>
          <w:highlight w:val="none"/>
        </w:rPr>
      </w:r>
    </w:p>
    <w:p>
      <w:pPr>
        <w:pStyle w:val="1035"/>
        <w:numPr>
          <w:ilvl w:val="0"/>
          <w:numId w:val="20"/>
        </w:numPr>
        <w:ind w:left="283" w:right="0" w:hanging="278"/>
        <w:tabs>
          <w:tab w:val="left" w:pos="-108" w:leader="none"/>
          <w:tab w:val="left" w:pos="320" w:leader="none"/>
        </w:tabs>
        <w:rPr>
          <w:highlight w:val="none"/>
        </w:rPr>
      </w:pP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  <w:t xml:space="preserve">Приложение №</w:t>
      </w:r>
      <w:r>
        <w:rPr>
          <w:bCs/>
          <w:sz w:val="24"/>
          <w:szCs w:val="24"/>
          <w:highlight w:val="none"/>
        </w:rPr>
        <w:t xml:space="preserve">6 Сводный сметный расчет.</w:t>
      </w:r>
      <w:r>
        <w:rPr>
          <w:highlight w:val="none"/>
        </w:rPr>
      </w:r>
      <w:r>
        <w:rPr>
          <w:highlight w:val="none"/>
        </w:rPr>
      </w:r>
    </w:p>
    <w:p>
      <w:pPr>
        <w:pStyle w:val="1035"/>
        <w:numPr>
          <w:ilvl w:val="0"/>
          <w:numId w:val="20"/>
        </w:numPr>
        <w:ind w:left="283" w:right="0" w:hanging="278"/>
        <w:tabs>
          <w:tab w:val="left" w:pos="-108" w:leader="none"/>
          <w:tab w:val="left" w:pos="320" w:leader="none"/>
        </w:tabs>
        <w:rPr>
          <w:highlight w:val="none"/>
        </w:rPr>
      </w:pP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  <w:t xml:space="preserve">Приложение №</w:t>
      </w:r>
      <w:r>
        <w:rPr>
          <w:bCs/>
          <w:sz w:val="24"/>
          <w:szCs w:val="24"/>
          <w:highlight w:val="none"/>
        </w:rPr>
        <w:t xml:space="preserve">7 Локальные сметные расчеты.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7"/>
        <w:numPr>
          <w:ilvl w:val="0"/>
          <w:numId w:val="0"/>
        </w:numPr>
        <w:ind w:left="357" w:firstLine="0"/>
        <w:jc w:val="center"/>
        <w:keepLines/>
        <w:spacing w:before="0" w:after="0"/>
        <w:rPr>
          <w:caps/>
          <w:sz w:val="24"/>
          <w:szCs w:val="24"/>
        </w:rPr>
      </w:pPr>
      <w:r>
        <w:rPr>
          <w:iCs/>
          <w:caps/>
          <w:sz w:val="24"/>
          <w:szCs w:val="24"/>
        </w:rPr>
      </w:r>
      <w:r>
        <w:rPr>
          <w:caps/>
          <w:sz w:val="24"/>
          <w:szCs w:val="24"/>
        </w:rPr>
      </w:r>
      <w:r>
        <w:rPr>
          <w:caps/>
          <w:sz w:val="24"/>
          <w:szCs w:val="24"/>
        </w:rPr>
      </w:r>
    </w:p>
    <w:sectPr>
      <w:footnotePr/>
      <w:endnotePr/>
      <w:type w:val="nextPage"/>
      <w:pgSz w:w="11906" w:h="16838" w:orient="portrait"/>
      <w:pgMar w:top="567" w:right="707" w:bottom="992" w:left="1134" w:header="680" w:footer="0" w:gutter="0"/>
      <w:cols w:num="1" w:sep="0" w:space="708" w:equalWidth="1"/>
      <w:docGrid w:linePitch="36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Алексеева Татьяна Борисовна" w:date="2024-12-25T12:49:00Z" w:initials="АТБ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Документ отсутствует в открытом источнике, в приложениях к ТТ, проекту договора.</w:t>
      </w:r>
    </w:p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Прописать в какой момент Исполнитель будет ознакомлен с данным Регламентом.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</w:comment>
  <w:comment w:id="1" w:author="Тимиршаехов Азат Анварович" w:date="2025-01-13T14:44:00Z" w:initials="ТАА">
    <w:p w14:paraId="00000004" w14:textId="00000004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Добавлено приложение №3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3" w15:done="1"/>
  <w15:commentEx w15:paraId="00000004" w15:paraIdParent="0000000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6C6DB488" w16cex:dateUtc="2024-12-25T03:49:00Z"/>
  <w16cex:commentExtensible w16cex:durableId="5CC7C077" w16cex:dateUtc="2025-01-13T05:44:00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3" w16cid:durableId="6C6DB488"/>
  <w16cid:commentId w16cid:paraId="00000004" w16cid:durableId="5CC7C07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panose1 w:val="020B0603030804020204"/>
  </w:font>
  <w:font w:name="Symbol">
    <w:panose1 w:val="05010000000000000000"/>
  </w:font>
  <w:font w:name="Courier New">
    <w:panose1 w:val="02070309020205020404"/>
  </w:font>
  <w:font w:name="Wingdings">
    <w:panose1 w:val="05010000000000000000"/>
  </w:font>
  <w:font w:name="Segoe UI">
    <w:panose1 w:val="020B050302020402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707595505"/>
      <w:docPartObj>
        <w:docPartGallery w:val="Page Numbers (Bottom of Page)"/>
        <w:docPartUnique w:val="true"/>
      </w:docPartObj>
      <w:rPr/>
    </w:sdtPr>
    <w:sdtContent>
      <w:sdt>
        <w:sdtPr>
          <w15:appearance w15:val="boundingBox"/>
          <w:id w:val="1524831211"/>
          <w:docPartObj>
            <w:docPartGallery w:val="Page Numbers (Top of Page)"/>
            <w:docPartUnique w:val="true"/>
          </w:docPartObj>
          <w:rPr>
            <w:sz w:val="20"/>
            <w:szCs w:val="20"/>
          </w:rPr>
        </w:sdtPr>
        <w:sdtContent>
          <w:p>
            <w:pPr>
              <w:pStyle w:val="10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Страница </w:t>
            </w:r>
            <w:r>
              <w:rPr>
                <w:b/>
                <w:bCs/>
                <w:sz w:val="20"/>
                <w:szCs w:val="20"/>
              </w:rPr>
              <w:fldChar w:fldCharType="begin"/>
            </w:r>
            <w:r>
              <w:rPr>
                <w:b/>
                <w:bCs/>
                <w:sz w:val="20"/>
                <w:szCs w:val="20"/>
              </w:rPr>
              <w:instrText xml:space="preserve">PAGE</w:instrText>
            </w:r>
            <w:r>
              <w:rPr>
                <w:b/>
                <w:bCs/>
                <w:sz w:val="20"/>
                <w:szCs w:val="20"/>
              </w:rPr>
              <w:fldChar w:fldCharType="separate"/>
            </w:r>
            <w:r>
              <w:rPr>
                <w:b/>
                <w:bCs/>
                <w:sz w:val="20"/>
                <w:szCs w:val="20"/>
              </w:rPr>
              <w:t xml:space="preserve">9</w:t>
            </w:r>
            <w:r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из </w:t>
            </w:r>
            <w:r>
              <w:rPr>
                <w:b/>
                <w:bCs/>
                <w:sz w:val="20"/>
                <w:szCs w:val="20"/>
              </w:rPr>
              <w:fldChar w:fldCharType="begin"/>
            </w:r>
            <w:r>
              <w:rPr>
                <w:b/>
                <w:bCs/>
                <w:sz w:val="20"/>
                <w:szCs w:val="20"/>
              </w:rPr>
              <w:instrText xml:space="preserve">NUMPAGES</w:instrText>
            </w:r>
            <w:r>
              <w:rPr>
                <w:b/>
                <w:bCs/>
                <w:sz w:val="20"/>
                <w:szCs w:val="20"/>
              </w:rPr>
              <w:fldChar w:fldCharType="separate"/>
            </w:r>
            <w:r>
              <w:rPr>
                <w:b/>
                <w:bCs/>
                <w:sz w:val="20"/>
                <w:szCs w:val="20"/>
              </w:rPr>
              <w:t xml:space="preserve">15</w:t>
            </w:r>
            <w:r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sdtContent>
      </w:sdt>
    </w:sdtContent>
  </w:sdt>
  <w:p>
    <w:pPr>
      <w:pStyle w:val="103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257453270"/>
      <w:docPartObj>
        <w:docPartGallery w:val="Page Numbers (Bottom of Page)"/>
        <w:docPartUnique w:val="true"/>
      </w:docPartObj>
      <w:rPr>
        <w:sz w:val="20"/>
        <w:szCs w:val="20"/>
      </w:rPr>
    </w:sdtPr>
    <w:sdtContent>
      <w:sdt>
        <w:sdtPr>
          <w15:appearance w15:val="boundingBox"/>
          <w:id w:val="-1769616900"/>
          <w:docPartObj>
            <w:docPartGallery w:val="Page Numbers (Top of Page)"/>
            <w:docPartUnique w:val="true"/>
          </w:docPartObj>
          <w:rPr>
            <w:sz w:val="20"/>
            <w:szCs w:val="20"/>
          </w:rPr>
        </w:sdtPr>
        <w:sdtContent>
          <w:p>
            <w:pPr>
              <w:pStyle w:val="103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Страница </w:t>
            </w:r>
            <w:r>
              <w:rPr>
                <w:b/>
                <w:bCs/>
                <w:sz w:val="20"/>
                <w:szCs w:val="20"/>
              </w:rPr>
              <w:fldChar w:fldCharType="begin"/>
            </w:r>
            <w:r>
              <w:rPr>
                <w:b/>
                <w:bCs/>
                <w:sz w:val="20"/>
                <w:szCs w:val="20"/>
              </w:rPr>
              <w:instrText xml:space="preserve">PAGE</w:instrText>
            </w:r>
            <w:r>
              <w:rPr>
                <w:b/>
                <w:bCs/>
                <w:sz w:val="20"/>
                <w:szCs w:val="20"/>
              </w:rPr>
              <w:fldChar w:fldCharType="separate"/>
            </w:r>
            <w:r>
              <w:rPr>
                <w:b/>
                <w:bCs/>
                <w:sz w:val="20"/>
                <w:szCs w:val="20"/>
              </w:rPr>
              <w:t xml:space="preserve">6</w:t>
            </w:r>
            <w:r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из </w:t>
            </w:r>
            <w:r>
              <w:rPr>
                <w:b/>
                <w:bCs/>
                <w:sz w:val="20"/>
                <w:szCs w:val="20"/>
              </w:rPr>
              <w:fldChar w:fldCharType="begin"/>
            </w:r>
            <w:r>
              <w:rPr>
                <w:b/>
                <w:bCs/>
                <w:sz w:val="20"/>
                <w:szCs w:val="20"/>
              </w:rPr>
              <w:instrText xml:space="preserve">NUMPAGES</w:instrText>
            </w:r>
            <w:r>
              <w:rPr>
                <w:b/>
                <w:bCs/>
                <w:sz w:val="20"/>
                <w:szCs w:val="20"/>
              </w:rPr>
              <w:fldChar w:fldCharType="separate"/>
            </w:r>
            <w:r>
              <w:rPr>
                <w:b/>
                <w:bCs/>
                <w:sz w:val="20"/>
                <w:szCs w:val="20"/>
              </w:rPr>
              <w:t xml:space="preserve">15</w:t>
            </w:r>
            <w:r>
              <w:rPr>
                <w:b/>
                <w:bCs/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sdtContent>
      </w:sdt>
    </w:sdtContent>
  </w:sdt>
  <w:p>
    <w:pPr>
      <w:pStyle w:val="103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7"/>
      <w:rPr>
        <w:rStyle w:val="1032"/>
      </w:rPr>
      <w:framePr w:wrap="around" w:vAnchor="text" w:hAnchor="margin" w:xAlign="center" w:y="1"/>
    </w:pPr>
    <w:r>
      <w:rPr>
        <w:rStyle w:val="1032"/>
      </w:rPr>
      <w:fldChar w:fldCharType="begin"/>
    </w:r>
    <w:r>
      <w:rPr>
        <w:rStyle w:val="1032"/>
      </w:rPr>
      <w:instrText xml:space="preserve">PAGE  </w:instrText>
    </w:r>
    <w:r>
      <w:rPr>
        <w:rStyle w:val="1032"/>
      </w:rPr>
      <w:fldChar w:fldCharType="separate"/>
    </w:r>
    <w:r>
      <w:rPr>
        <w:rStyle w:val="1032"/>
      </w:rPr>
      <w:t xml:space="preserve">6</w:t>
    </w:r>
    <w:r>
      <w:rPr>
        <w:rStyle w:val="1032"/>
      </w:rPr>
      <w:fldChar w:fldCharType="end"/>
    </w:r>
    <w:r>
      <w:rPr>
        <w:rStyle w:val="1032"/>
      </w:rPr>
    </w:r>
    <w:r>
      <w:rPr>
        <w:rStyle w:val="1032"/>
      </w:rPr>
    </w:r>
  </w:p>
  <w:p>
    <w:pPr>
      <w:pStyle w:val="1027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7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 w:val="0"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72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 w:val="0"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5038" w:hanging="360"/>
      </w:pPr>
      <w:rPr>
        <w:rFonts w:hint="default" w:ascii="Wingdings" w:hAnsi="Wingdings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 w:val="0"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pStyle w:val="837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840"/>
      <w:isLgl w:val="false"/>
      <w:suff w:val="tab"/>
      <w:lvlText w:val="%1.%2."/>
      <w:lvlJc w:val="left"/>
      <w:pPr>
        <w:ind w:left="432" w:hanging="432"/>
      </w:pPr>
      <w:rPr>
        <w:rFonts w:hint="default"/>
        <w:b w:val="0"/>
        <w:bCs/>
        <w:i w:val="0"/>
        <w:iCs/>
        <w:sz w:val="24"/>
        <w:szCs w:val="24"/>
      </w:rPr>
    </w:lvl>
    <w:lvl w:ilvl="2">
      <w:start w:val="1"/>
      <w:numFmt w:val="decimal"/>
      <w:pStyle w:val="839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 w:val="0"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 w:val="0"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5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5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5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5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5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5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5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5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5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5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5" w:hanging="18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5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5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5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5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5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5" w:hanging="180"/>
      </w:pPr>
    </w:lvl>
  </w:abstractNum>
  <w:num w:numId="1">
    <w:abstractNumId w:val="6"/>
  </w:num>
  <w:num w:numId="2">
    <w:abstractNumId w:val="3"/>
  </w:num>
  <w:num w:numId="3">
    <w:abstractNumId w:val="15"/>
  </w:num>
  <w:num w:numId="4">
    <w:abstractNumId w:val="9"/>
  </w:num>
  <w:num w:numId="5">
    <w:abstractNumId w:val="2"/>
  </w:num>
  <w:num w:numId="6">
    <w:abstractNumId w:val="13"/>
  </w:num>
  <w:num w:numId="7">
    <w:abstractNumId w:val="1"/>
  </w:num>
  <w:num w:numId="8">
    <w:abstractNumId w:val="5"/>
  </w:num>
  <w:num w:numId="9">
    <w:abstractNumId w:val="14"/>
  </w:num>
  <w:num w:numId="10">
    <w:abstractNumId w:val="11"/>
  </w:num>
  <w:num w:numId="11">
    <w:abstractNumId w:val="16"/>
  </w:num>
  <w:num w:numId="12">
    <w:abstractNumId w:val="8"/>
  </w:num>
  <w:num w:numId="13">
    <w:abstractNumId w:val="4"/>
  </w:num>
  <w:num w:numId="14">
    <w:abstractNumId w:val="0"/>
  </w:num>
  <w:num w:numId="15">
    <w:abstractNumId w:val="10"/>
  </w:num>
  <w:num w:numId="16">
    <w:abstractNumId w:val="7"/>
  </w:num>
  <w:num w:numId="17">
    <w:abstractNumId w:val="12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Тимиршаехов Азат Анварович">
    <w15:presenceInfo w15:providerId="Teamlab" w15:userId="Тимиршаехов Азат Анварович"/>
  </w15:person>
  <w15:person w15:author="Алексеева Татьяна Борисовна">
    <w15:presenceInfo w15:providerId="Teamlab" w15:userId="Алексеева Татьяна Борисо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36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837">
    <w:name w:val="Heading 1"/>
    <w:basedOn w:val="839"/>
    <w:next w:val="836"/>
    <w:link w:val="1022"/>
    <w:qFormat/>
    <w:pPr>
      <w:numPr>
        <w:ilvl w:val="0"/>
      </w:numPr>
      <w:outlineLvl w:val="0"/>
    </w:pPr>
    <w:rPr>
      <w:sz w:val="28"/>
      <w:szCs w:val="28"/>
    </w:rPr>
  </w:style>
  <w:style w:type="paragraph" w:styleId="838">
    <w:name w:val="Heading 2"/>
    <w:basedOn w:val="840"/>
    <w:next w:val="836"/>
    <w:link w:val="1023"/>
    <w:qFormat/>
    <w:pPr>
      <w:outlineLvl w:val="1"/>
    </w:pPr>
  </w:style>
  <w:style w:type="paragraph" w:styleId="839">
    <w:name w:val="Heading 3"/>
    <w:basedOn w:val="836"/>
    <w:next w:val="836"/>
    <w:link w:val="1024"/>
    <w:qFormat/>
    <w:pPr>
      <w:numPr>
        <w:ilvl w:val="2"/>
        <w:numId w:val="1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840">
    <w:name w:val="Heading 4"/>
    <w:basedOn w:val="839"/>
    <w:next w:val="836"/>
    <w:link w:val="1025"/>
    <w:qFormat/>
    <w:pPr>
      <w:numPr>
        <w:ilvl w:val="1"/>
      </w:numPr>
      <w:outlineLvl w:val="3"/>
    </w:pPr>
    <w:rPr>
      <w:bCs/>
    </w:rPr>
  </w:style>
  <w:style w:type="paragraph" w:styleId="841">
    <w:name w:val="Heading 5"/>
    <w:basedOn w:val="836"/>
    <w:next w:val="836"/>
    <w:link w:val="8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42">
    <w:name w:val="Heading 6"/>
    <w:basedOn w:val="836"/>
    <w:next w:val="836"/>
    <w:link w:val="86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43">
    <w:name w:val="Heading 7"/>
    <w:basedOn w:val="836"/>
    <w:next w:val="836"/>
    <w:link w:val="86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44">
    <w:name w:val="Heading 8"/>
    <w:basedOn w:val="836"/>
    <w:next w:val="836"/>
    <w:link w:val="86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845">
    <w:name w:val="Heading 9"/>
    <w:basedOn w:val="836"/>
    <w:next w:val="836"/>
    <w:link w:val="86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46" w:default="1">
    <w:name w:val="Default Paragraph Font"/>
    <w:uiPriority w:val="1"/>
    <w:semiHidden/>
    <w:unhideWhenUsed/>
  </w:style>
  <w:style w:type="table" w:styleId="84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8" w:default="1">
    <w:name w:val="No List"/>
    <w:uiPriority w:val="99"/>
    <w:semiHidden/>
    <w:unhideWhenUsed/>
  </w:style>
  <w:style w:type="character" w:styleId="849" w:customStyle="1">
    <w:name w:val="Heading 5 Char"/>
    <w:basedOn w:val="846"/>
    <w:uiPriority w:val="9"/>
    <w:rPr>
      <w:rFonts w:ascii="Arial" w:hAnsi="Arial" w:eastAsia="Arial" w:cs="Arial"/>
      <w:b/>
      <w:bCs/>
      <w:sz w:val="24"/>
      <w:szCs w:val="24"/>
    </w:rPr>
  </w:style>
  <w:style w:type="character" w:styleId="850" w:customStyle="1">
    <w:name w:val="Heading 6 Char"/>
    <w:basedOn w:val="846"/>
    <w:uiPriority w:val="9"/>
    <w:rPr>
      <w:rFonts w:ascii="Arial" w:hAnsi="Arial" w:eastAsia="Arial" w:cs="Arial"/>
      <w:b/>
      <w:bCs/>
      <w:sz w:val="22"/>
      <w:szCs w:val="22"/>
    </w:rPr>
  </w:style>
  <w:style w:type="character" w:styleId="851" w:customStyle="1">
    <w:name w:val="Heading 7 Char"/>
    <w:basedOn w:val="84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52" w:customStyle="1">
    <w:name w:val="Heading 8 Char"/>
    <w:basedOn w:val="846"/>
    <w:uiPriority w:val="9"/>
    <w:rPr>
      <w:rFonts w:ascii="Arial" w:hAnsi="Arial" w:eastAsia="Arial" w:cs="Arial"/>
      <w:i/>
      <w:iCs/>
      <w:sz w:val="22"/>
      <w:szCs w:val="22"/>
    </w:rPr>
  </w:style>
  <w:style w:type="character" w:styleId="853" w:customStyle="1">
    <w:name w:val="Heading 9 Char"/>
    <w:basedOn w:val="846"/>
    <w:uiPriority w:val="9"/>
    <w:rPr>
      <w:rFonts w:ascii="Arial" w:hAnsi="Arial" w:eastAsia="Arial" w:cs="Arial"/>
      <w:i/>
      <w:iCs/>
      <w:sz w:val="21"/>
      <w:szCs w:val="21"/>
    </w:rPr>
  </w:style>
  <w:style w:type="character" w:styleId="854" w:customStyle="1">
    <w:name w:val="Title Char"/>
    <w:basedOn w:val="846"/>
    <w:uiPriority w:val="10"/>
    <w:rPr>
      <w:sz w:val="48"/>
      <w:szCs w:val="48"/>
    </w:rPr>
  </w:style>
  <w:style w:type="character" w:styleId="855" w:customStyle="1">
    <w:name w:val="Subtitle Char"/>
    <w:basedOn w:val="846"/>
    <w:uiPriority w:val="11"/>
    <w:rPr>
      <w:sz w:val="24"/>
      <w:szCs w:val="24"/>
    </w:rPr>
  </w:style>
  <w:style w:type="character" w:styleId="856" w:customStyle="1">
    <w:name w:val="Quote Char"/>
    <w:uiPriority w:val="29"/>
    <w:rPr>
      <w:i/>
    </w:rPr>
  </w:style>
  <w:style w:type="character" w:styleId="857" w:customStyle="1">
    <w:name w:val="Intense Quote Char"/>
    <w:uiPriority w:val="30"/>
    <w:rPr>
      <w:i/>
    </w:rPr>
  </w:style>
  <w:style w:type="character" w:styleId="858" w:customStyle="1">
    <w:name w:val="Endnote Text Char"/>
    <w:uiPriority w:val="99"/>
    <w:rPr>
      <w:sz w:val="20"/>
    </w:rPr>
  </w:style>
  <w:style w:type="character" w:styleId="859" w:customStyle="1">
    <w:name w:val="Heading 1 Char"/>
    <w:basedOn w:val="846"/>
    <w:uiPriority w:val="9"/>
    <w:rPr>
      <w:rFonts w:ascii="Arial" w:hAnsi="Arial" w:eastAsia="Arial" w:cs="Arial"/>
      <w:sz w:val="40"/>
      <w:szCs w:val="40"/>
    </w:rPr>
  </w:style>
  <w:style w:type="character" w:styleId="860" w:customStyle="1">
    <w:name w:val="Heading 2 Char"/>
    <w:basedOn w:val="846"/>
    <w:uiPriority w:val="9"/>
    <w:rPr>
      <w:rFonts w:ascii="Arial" w:hAnsi="Arial" w:eastAsia="Arial" w:cs="Arial"/>
      <w:sz w:val="34"/>
    </w:rPr>
  </w:style>
  <w:style w:type="character" w:styleId="861" w:customStyle="1">
    <w:name w:val="Heading 3 Char"/>
    <w:basedOn w:val="846"/>
    <w:uiPriority w:val="9"/>
    <w:rPr>
      <w:rFonts w:ascii="Arial" w:hAnsi="Arial" w:eastAsia="Arial" w:cs="Arial"/>
      <w:sz w:val="30"/>
      <w:szCs w:val="30"/>
    </w:rPr>
  </w:style>
  <w:style w:type="character" w:styleId="862" w:customStyle="1">
    <w:name w:val="Heading 4 Char"/>
    <w:basedOn w:val="846"/>
    <w:uiPriority w:val="9"/>
    <w:rPr>
      <w:rFonts w:ascii="Arial" w:hAnsi="Arial" w:eastAsia="Arial" w:cs="Arial"/>
      <w:b/>
      <w:bCs/>
      <w:sz w:val="26"/>
      <w:szCs w:val="26"/>
    </w:rPr>
  </w:style>
  <w:style w:type="character" w:styleId="863" w:customStyle="1">
    <w:name w:val="Заголовок 5 Знак"/>
    <w:basedOn w:val="846"/>
    <w:link w:val="841"/>
    <w:uiPriority w:val="9"/>
    <w:rPr>
      <w:rFonts w:ascii="Arial" w:hAnsi="Arial" w:eastAsia="Arial" w:cs="Arial"/>
      <w:b/>
      <w:bCs/>
      <w:sz w:val="24"/>
      <w:szCs w:val="24"/>
    </w:rPr>
  </w:style>
  <w:style w:type="character" w:styleId="864" w:customStyle="1">
    <w:name w:val="Заголовок 6 Знак"/>
    <w:basedOn w:val="846"/>
    <w:link w:val="842"/>
    <w:uiPriority w:val="9"/>
    <w:rPr>
      <w:rFonts w:ascii="Arial" w:hAnsi="Arial" w:eastAsia="Arial" w:cs="Arial"/>
      <w:b/>
      <w:bCs/>
      <w:sz w:val="22"/>
      <w:szCs w:val="22"/>
    </w:rPr>
  </w:style>
  <w:style w:type="character" w:styleId="865" w:customStyle="1">
    <w:name w:val="Заголовок 7 Знак"/>
    <w:basedOn w:val="846"/>
    <w:link w:val="84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66" w:customStyle="1">
    <w:name w:val="Заголовок 8 Знак"/>
    <w:basedOn w:val="846"/>
    <w:link w:val="844"/>
    <w:uiPriority w:val="9"/>
    <w:rPr>
      <w:rFonts w:ascii="Arial" w:hAnsi="Arial" w:eastAsia="Arial" w:cs="Arial"/>
      <w:i/>
      <w:iCs/>
      <w:sz w:val="22"/>
      <w:szCs w:val="22"/>
    </w:rPr>
  </w:style>
  <w:style w:type="character" w:styleId="867" w:customStyle="1">
    <w:name w:val="Заголовок 9 Знак"/>
    <w:basedOn w:val="846"/>
    <w:link w:val="845"/>
    <w:uiPriority w:val="9"/>
    <w:rPr>
      <w:rFonts w:ascii="Arial" w:hAnsi="Arial" w:eastAsia="Arial" w:cs="Arial"/>
      <w:i/>
      <w:iCs/>
      <w:sz w:val="21"/>
      <w:szCs w:val="21"/>
    </w:rPr>
  </w:style>
  <w:style w:type="paragraph" w:styleId="868">
    <w:name w:val="No Spacing"/>
    <w:uiPriority w:val="1"/>
    <w:qFormat/>
    <w:pPr>
      <w:spacing w:after="0" w:line="240" w:lineRule="auto"/>
    </w:pPr>
  </w:style>
  <w:style w:type="paragraph" w:styleId="869">
    <w:name w:val="Title"/>
    <w:basedOn w:val="836"/>
    <w:next w:val="836"/>
    <w:link w:val="87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70" w:customStyle="1">
    <w:name w:val="Заголовок Знак"/>
    <w:basedOn w:val="846"/>
    <w:link w:val="869"/>
    <w:uiPriority w:val="10"/>
    <w:rPr>
      <w:sz w:val="48"/>
      <w:szCs w:val="48"/>
    </w:rPr>
  </w:style>
  <w:style w:type="paragraph" w:styleId="871">
    <w:name w:val="Subtitle"/>
    <w:basedOn w:val="836"/>
    <w:next w:val="836"/>
    <w:link w:val="872"/>
    <w:uiPriority w:val="11"/>
    <w:qFormat/>
    <w:pPr>
      <w:spacing w:before="200" w:after="200"/>
    </w:pPr>
    <w:rPr>
      <w:sz w:val="24"/>
      <w:szCs w:val="24"/>
    </w:rPr>
  </w:style>
  <w:style w:type="character" w:styleId="872" w:customStyle="1">
    <w:name w:val="Подзаголовок Знак"/>
    <w:basedOn w:val="846"/>
    <w:link w:val="871"/>
    <w:uiPriority w:val="11"/>
    <w:rPr>
      <w:sz w:val="24"/>
      <w:szCs w:val="24"/>
    </w:rPr>
  </w:style>
  <w:style w:type="paragraph" w:styleId="873">
    <w:name w:val="Quote"/>
    <w:basedOn w:val="836"/>
    <w:next w:val="836"/>
    <w:link w:val="874"/>
    <w:uiPriority w:val="29"/>
    <w:qFormat/>
    <w:pPr>
      <w:ind w:left="720" w:right="720"/>
    </w:pPr>
    <w:rPr>
      <w:i/>
    </w:rPr>
  </w:style>
  <w:style w:type="character" w:styleId="874" w:customStyle="1">
    <w:name w:val="Цитата 2 Знак"/>
    <w:link w:val="873"/>
    <w:uiPriority w:val="29"/>
    <w:rPr>
      <w:i/>
    </w:rPr>
  </w:style>
  <w:style w:type="paragraph" w:styleId="875">
    <w:name w:val="Intense Quote"/>
    <w:basedOn w:val="836"/>
    <w:next w:val="836"/>
    <w:link w:val="87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76" w:customStyle="1">
    <w:name w:val="Выделенная цитата Знак"/>
    <w:link w:val="875"/>
    <w:uiPriority w:val="30"/>
    <w:rPr>
      <w:i/>
    </w:rPr>
  </w:style>
  <w:style w:type="character" w:styleId="877" w:customStyle="1">
    <w:name w:val="Header Char"/>
    <w:basedOn w:val="846"/>
    <w:uiPriority w:val="99"/>
  </w:style>
  <w:style w:type="character" w:styleId="878" w:customStyle="1">
    <w:name w:val="Footer Char"/>
    <w:basedOn w:val="846"/>
    <w:uiPriority w:val="99"/>
  </w:style>
  <w:style w:type="paragraph" w:styleId="879">
    <w:name w:val="Caption"/>
    <w:basedOn w:val="836"/>
    <w:next w:val="836"/>
    <w:link w:val="880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880" w:customStyle="1">
    <w:name w:val="Caption Char"/>
    <w:uiPriority w:val="99"/>
  </w:style>
  <w:style w:type="table" w:styleId="881" w:customStyle="1">
    <w:name w:val="Table Grid Light"/>
    <w:basedOn w:val="847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82">
    <w:name w:val="Plain Table 1"/>
    <w:basedOn w:val="847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83">
    <w:name w:val="Plain Table 2"/>
    <w:basedOn w:val="847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84">
    <w:name w:val="Plain Table 3"/>
    <w:basedOn w:val="84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85">
    <w:name w:val="Plain Table 4"/>
    <w:basedOn w:val="84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Plain Table 5"/>
    <w:basedOn w:val="84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87">
    <w:name w:val="Grid Table 1 Light"/>
    <w:basedOn w:val="84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 w:customStyle="1">
    <w:name w:val="Grid Table 1 Light - Accent 1"/>
    <w:basedOn w:val="84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 w:customStyle="1">
    <w:name w:val="Grid Table 1 Light - Accent 2"/>
    <w:basedOn w:val="84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 w:customStyle="1">
    <w:name w:val="Grid Table 1 Light - Accent 3"/>
    <w:basedOn w:val="84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 w:customStyle="1">
    <w:name w:val="Grid Table 1 Light - Accent 4"/>
    <w:basedOn w:val="84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 w:customStyle="1">
    <w:name w:val="Grid Table 1 Light - Accent 5"/>
    <w:basedOn w:val="84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 w:customStyle="1">
    <w:name w:val="Grid Table 1 Light - Accent 6"/>
    <w:basedOn w:val="84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>
    <w:name w:val="Grid Table 2"/>
    <w:basedOn w:val="84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 w:customStyle="1">
    <w:name w:val="Grid Table 2 - Accent 1"/>
    <w:basedOn w:val="84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 w:customStyle="1">
    <w:name w:val="Grid Table 2 - Accent 2"/>
    <w:basedOn w:val="84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 w:customStyle="1">
    <w:name w:val="Grid Table 2 - Accent 3"/>
    <w:basedOn w:val="84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 w:customStyle="1">
    <w:name w:val="Grid Table 2 - Accent 4"/>
    <w:basedOn w:val="84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 w:customStyle="1">
    <w:name w:val="Grid Table 2 - Accent 5"/>
    <w:basedOn w:val="84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 w:customStyle="1">
    <w:name w:val="Grid Table 2 - Accent 6"/>
    <w:basedOn w:val="84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>
    <w:name w:val="Grid Table 3"/>
    <w:basedOn w:val="84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 w:customStyle="1">
    <w:name w:val="Grid Table 3 - Accent 1"/>
    <w:basedOn w:val="84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 w:customStyle="1">
    <w:name w:val="Grid Table 3 - Accent 2"/>
    <w:basedOn w:val="84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 w:customStyle="1">
    <w:name w:val="Grid Table 3 - Accent 3"/>
    <w:basedOn w:val="84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 w:customStyle="1">
    <w:name w:val="Grid Table 3 - Accent 4"/>
    <w:basedOn w:val="84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 w:customStyle="1">
    <w:name w:val="Grid Table 3 - Accent 5"/>
    <w:basedOn w:val="84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 w:customStyle="1">
    <w:name w:val="Grid Table 3 - Accent 6"/>
    <w:basedOn w:val="84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>
    <w:name w:val="Grid Table 4"/>
    <w:basedOn w:val="847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09" w:customStyle="1">
    <w:name w:val="Grid Table 4 - Accent 1"/>
    <w:basedOn w:val="847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910" w:customStyle="1">
    <w:name w:val="Grid Table 4 - Accent 2"/>
    <w:basedOn w:val="847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911" w:customStyle="1">
    <w:name w:val="Grid Table 4 - Accent 3"/>
    <w:basedOn w:val="847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912" w:customStyle="1">
    <w:name w:val="Grid Table 4 - Accent 4"/>
    <w:basedOn w:val="847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913" w:customStyle="1">
    <w:name w:val="Grid Table 4 - Accent 5"/>
    <w:basedOn w:val="847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914" w:customStyle="1">
    <w:name w:val="Grid Table 4 - Accent 6"/>
    <w:basedOn w:val="847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915">
    <w:name w:val="Grid Table 5 Dark"/>
    <w:basedOn w:val="84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916" w:customStyle="1">
    <w:name w:val="Grid Table 5 Dark- Accent 1"/>
    <w:basedOn w:val="84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917" w:customStyle="1">
    <w:name w:val="Grid Table 5 Dark - Accent 2"/>
    <w:basedOn w:val="84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918" w:customStyle="1">
    <w:name w:val="Grid Table 5 Dark - Accent 3"/>
    <w:basedOn w:val="84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919" w:customStyle="1">
    <w:name w:val="Grid Table 5 Dark- Accent 4"/>
    <w:basedOn w:val="84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920" w:customStyle="1">
    <w:name w:val="Grid Table 5 Dark - Accent 5"/>
    <w:basedOn w:val="84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921" w:customStyle="1">
    <w:name w:val="Grid Table 5 Dark - Accent 6"/>
    <w:basedOn w:val="84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922">
    <w:name w:val="Grid Table 6 Colorful"/>
    <w:basedOn w:val="84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23" w:customStyle="1">
    <w:name w:val="Grid Table 6 Colorful - Accent 1"/>
    <w:basedOn w:val="84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924" w:customStyle="1">
    <w:name w:val="Grid Table 6 Colorful - Accent 2"/>
    <w:basedOn w:val="84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925" w:customStyle="1">
    <w:name w:val="Grid Table 6 Colorful - Accent 3"/>
    <w:basedOn w:val="84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926" w:customStyle="1">
    <w:name w:val="Grid Table 6 Colorful - Accent 4"/>
    <w:basedOn w:val="84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927" w:customStyle="1">
    <w:name w:val="Grid Table 6 Colorful - Accent 5"/>
    <w:basedOn w:val="847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928" w:customStyle="1">
    <w:name w:val="Grid Table 6 Colorful - Accent 6"/>
    <w:basedOn w:val="84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929">
    <w:name w:val="Grid Table 7 Colorful"/>
    <w:basedOn w:val="84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 w:customStyle="1">
    <w:name w:val="Grid Table 7 Colorful - Accent 1"/>
    <w:basedOn w:val="84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 w:customStyle="1">
    <w:name w:val="Grid Table 7 Colorful - Accent 2"/>
    <w:basedOn w:val="84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 w:customStyle="1">
    <w:name w:val="Grid Table 7 Colorful - Accent 3"/>
    <w:basedOn w:val="84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 w:customStyle="1">
    <w:name w:val="Grid Table 7 Colorful - Accent 4"/>
    <w:basedOn w:val="84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 w:customStyle="1">
    <w:name w:val="Grid Table 7 Colorful - Accent 5"/>
    <w:basedOn w:val="84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 w:customStyle="1">
    <w:name w:val="Grid Table 7 Colorful - Accent 6"/>
    <w:basedOn w:val="84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>
    <w:name w:val="List Table 1 Light"/>
    <w:basedOn w:val="84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 w:customStyle="1">
    <w:name w:val="List Table 1 Light - Accent 1"/>
    <w:basedOn w:val="84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 w:customStyle="1">
    <w:name w:val="List Table 1 Light - Accent 2"/>
    <w:basedOn w:val="84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 w:customStyle="1">
    <w:name w:val="List Table 1 Light - Accent 3"/>
    <w:basedOn w:val="84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0" w:customStyle="1">
    <w:name w:val="List Table 1 Light - Accent 4"/>
    <w:basedOn w:val="84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1" w:customStyle="1">
    <w:name w:val="List Table 1 Light - Accent 5"/>
    <w:basedOn w:val="84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2" w:customStyle="1">
    <w:name w:val="List Table 1 Light - Accent 6"/>
    <w:basedOn w:val="84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3">
    <w:name w:val="List Table 2"/>
    <w:basedOn w:val="847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44" w:customStyle="1">
    <w:name w:val="List Table 2 - Accent 1"/>
    <w:basedOn w:val="84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945" w:customStyle="1">
    <w:name w:val="List Table 2 - Accent 2"/>
    <w:basedOn w:val="84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946" w:customStyle="1">
    <w:name w:val="List Table 2 - Accent 3"/>
    <w:basedOn w:val="84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947" w:customStyle="1">
    <w:name w:val="List Table 2 - Accent 4"/>
    <w:basedOn w:val="84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948" w:customStyle="1">
    <w:name w:val="List Table 2 - Accent 5"/>
    <w:basedOn w:val="84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949" w:customStyle="1">
    <w:name w:val="List Table 2 - Accent 6"/>
    <w:basedOn w:val="84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950">
    <w:name w:val="List Table 3"/>
    <w:basedOn w:val="84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1" w:customStyle="1">
    <w:name w:val="List Table 3 - Accent 1"/>
    <w:basedOn w:val="847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2" w:customStyle="1">
    <w:name w:val="List Table 3 - Accent 2"/>
    <w:basedOn w:val="84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3" w:customStyle="1">
    <w:name w:val="List Table 3 - Accent 3"/>
    <w:basedOn w:val="84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4" w:customStyle="1">
    <w:name w:val="List Table 3 - Accent 4"/>
    <w:basedOn w:val="84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5" w:customStyle="1">
    <w:name w:val="List Table 3 - Accent 5"/>
    <w:basedOn w:val="847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6" w:customStyle="1">
    <w:name w:val="List Table 3 - Accent 6"/>
    <w:basedOn w:val="84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7">
    <w:name w:val="List Table 4"/>
    <w:basedOn w:val="84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8" w:customStyle="1">
    <w:name w:val="List Table 4 - Accent 1"/>
    <w:basedOn w:val="84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9" w:customStyle="1">
    <w:name w:val="List Table 4 - Accent 2"/>
    <w:basedOn w:val="84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0" w:customStyle="1">
    <w:name w:val="List Table 4 - Accent 3"/>
    <w:basedOn w:val="84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1" w:customStyle="1">
    <w:name w:val="List Table 4 - Accent 4"/>
    <w:basedOn w:val="84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2" w:customStyle="1">
    <w:name w:val="List Table 4 - Accent 5"/>
    <w:basedOn w:val="84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3" w:customStyle="1">
    <w:name w:val="List Table 4 - Accent 6"/>
    <w:basedOn w:val="84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4">
    <w:name w:val="List Table 5 Dark"/>
    <w:basedOn w:val="84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5" w:customStyle="1">
    <w:name w:val="List Table 5 Dark - Accent 1"/>
    <w:basedOn w:val="847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6" w:customStyle="1">
    <w:name w:val="List Table 5 Dark - Accent 2"/>
    <w:basedOn w:val="84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7" w:customStyle="1">
    <w:name w:val="List Table 5 Dark - Accent 3"/>
    <w:basedOn w:val="84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8" w:customStyle="1">
    <w:name w:val="List Table 5 Dark - Accent 4"/>
    <w:basedOn w:val="84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9" w:customStyle="1">
    <w:name w:val="List Table 5 Dark - Accent 5"/>
    <w:basedOn w:val="847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70" w:customStyle="1">
    <w:name w:val="List Table 5 Dark - Accent 6"/>
    <w:basedOn w:val="84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71">
    <w:name w:val="List Table 6 Colorful"/>
    <w:basedOn w:val="84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72" w:customStyle="1">
    <w:name w:val="List Table 6 Colorful - Accent 1"/>
    <w:basedOn w:val="847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973" w:customStyle="1">
    <w:name w:val="List Table 6 Colorful - Accent 2"/>
    <w:basedOn w:val="84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974" w:customStyle="1">
    <w:name w:val="List Table 6 Colorful - Accent 3"/>
    <w:basedOn w:val="84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975" w:customStyle="1">
    <w:name w:val="List Table 6 Colorful - Accent 4"/>
    <w:basedOn w:val="84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976" w:customStyle="1">
    <w:name w:val="List Table 6 Colorful - Accent 5"/>
    <w:basedOn w:val="847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977" w:customStyle="1">
    <w:name w:val="List Table 6 Colorful - Accent 6"/>
    <w:basedOn w:val="84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978">
    <w:name w:val="List Table 7 Colorful"/>
    <w:basedOn w:val="84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9" w:customStyle="1">
    <w:name w:val="List Table 7 Colorful - Accent 1"/>
    <w:basedOn w:val="84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0" w:customStyle="1">
    <w:name w:val="List Table 7 Colorful - Accent 2"/>
    <w:basedOn w:val="84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1" w:customStyle="1">
    <w:name w:val="List Table 7 Colorful - Accent 3"/>
    <w:basedOn w:val="84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2" w:customStyle="1">
    <w:name w:val="List Table 7 Colorful - Accent 4"/>
    <w:basedOn w:val="84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3" w:customStyle="1">
    <w:name w:val="List Table 7 Colorful - Accent 5"/>
    <w:basedOn w:val="84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4" w:customStyle="1">
    <w:name w:val="List Table 7 Colorful - Accent 6"/>
    <w:basedOn w:val="84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5" w:customStyle="1">
    <w:name w:val="Lined - Accent"/>
    <w:basedOn w:val="84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86" w:customStyle="1">
    <w:name w:val="Lined - Accent 1"/>
    <w:basedOn w:val="84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987" w:customStyle="1">
    <w:name w:val="Lined - Accent 2"/>
    <w:basedOn w:val="84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88" w:customStyle="1">
    <w:name w:val="Lined - Accent 3"/>
    <w:basedOn w:val="84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89" w:customStyle="1">
    <w:name w:val="Lined - Accent 4"/>
    <w:basedOn w:val="84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90" w:customStyle="1">
    <w:name w:val="Lined - Accent 5"/>
    <w:basedOn w:val="84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991" w:customStyle="1">
    <w:name w:val="Lined - Accent 6"/>
    <w:basedOn w:val="84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92" w:customStyle="1">
    <w:name w:val="Bordered &amp; Lined - Accent"/>
    <w:basedOn w:val="84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93" w:customStyle="1">
    <w:name w:val="Bordered &amp; Lined - Accent 1"/>
    <w:basedOn w:val="84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994" w:customStyle="1">
    <w:name w:val="Bordered &amp; Lined - Accent 2"/>
    <w:basedOn w:val="84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995" w:customStyle="1">
    <w:name w:val="Bordered &amp; Lined - Accent 3"/>
    <w:basedOn w:val="84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996" w:customStyle="1">
    <w:name w:val="Bordered &amp; Lined - Accent 4"/>
    <w:basedOn w:val="84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997" w:customStyle="1">
    <w:name w:val="Bordered &amp; Lined - Accent 5"/>
    <w:basedOn w:val="84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998" w:customStyle="1">
    <w:name w:val="Bordered &amp; Lined - Accent 6"/>
    <w:basedOn w:val="84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999" w:customStyle="1">
    <w:name w:val="Bordered"/>
    <w:basedOn w:val="84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000" w:customStyle="1">
    <w:name w:val="Bordered - Accent 1"/>
    <w:basedOn w:val="84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1001" w:customStyle="1">
    <w:name w:val="Bordered - Accent 2"/>
    <w:basedOn w:val="84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1002" w:customStyle="1">
    <w:name w:val="Bordered - Accent 3"/>
    <w:basedOn w:val="84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1003" w:customStyle="1">
    <w:name w:val="Bordered - Accent 4"/>
    <w:basedOn w:val="84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1004" w:customStyle="1">
    <w:name w:val="Bordered - Accent 5"/>
    <w:basedOn w:val="84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1005" w:customStyle="1">
    <w:name w:val="Bordered - Accent 6"/>
    <w:basedOn w:val="84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1006">
    <w:name w:val="Hyperlink"/>
    <w:uiPriority w:val="99"/>
    <w:unhideWhenUsed/>
    <w:rPr>
      <w:color w:val="0563c1" w:themeColor="hyperlink"/>
      <w:u w:val="single"/>
    </w:rPr>
  </w:style>
  <w:style w:type="character" w:styleId="1007" w:customStyle="1">
    <w:name w:val="Footnote Text Char"/>
    <w:uiPriority w:val="99"/>
    <w:rPr>
      <w:sz w:val="18"/>
    </w:rPr>
  </w:style>
  <w:style w:type="paragraph" w:styleId="1008">
    <w:name w:val="endnote text"/>
    <w:basedOn w:val="836"/>
    <w:link w:val="1009"/>
    <w:uiPriority w:val="99"/>
    <w:semiHidden/>
    <w:unhideWhenUsed/>
    <w:rPr>
      <w:sz w:val="20"/>
    </w:rPr>
  </w:style>
  <w:style w:type="character" w:styleId="1009" w:customStyle="1">
    <w:name w:val="Текст концевой сноски Знак"/>
    <w:link w:val="1008"/>
    <w:uiPriority w:val="99"/>
    <w:rPr>
      <w:sz w:val="20"/>
    </w:rPr>
  </w:style>
  <w:style w:type="character" w:styleId="1010">
    <w:name w:val="endnote reference"/>
    <w:basedOn w:val="846"/>
    <w:uiPriority w:val="99"/>
    <w:semiHidden/>
    <w:unhideWhenUsed/>
    <w:rPr>
      <w:vertAlign w:val="superscript"/>
    </w:rPr>
  </w:style>
  <w:style w:type="paragraph" w:styleId="1011">
    <w:name w:val="toc 1"/>
    <w:basedOn w:val="836"/>
    <w:next w:val="836"/>
    <w:uiPriority w:val="39"/>
    <w:unhideWhenUsed/>
    <w:pPr>
      <w:spacing w:after="57"/>
    </w:pPr>
  </w:style>
  <w:style w:type="paragraph" w:styleId="1012">
    <w:name w:val="toc 2"/>
    <w:basedOn w:val="836"/>
    <w:next w:val="836"/>
    <w:uiPriority w:val="39"/>
    <w:unhideWhenUsed/>
    <w:pPr>
      <w:ind w:left="283"/>
      <w:spacing w:after="57"/>
    </w:pPr>
  </w:style>
  <w:style w:type="paragraph" w:styleId="1013">
    <w:name w:val="toc 3"/>
    <w:basedOn w:val="836"/>
    <w:next w:val="836"/>
    <w:uiPriority w:val="39"/>
    <w:unhideWhenUsed/>
    <w:pPr>
      <w:ind w:left="567"/>
      <w:spacing w:after="57"/>
    </w:pPr>
  </w:style>
  <w:style w:type="paragraph" w:styleId="1014">
    <w:name w:val="toc 4"/>
    <w:basedOn w:val="836"/>
    <w:next w:val="836"/>
    <w:uiPriority w:val="39"/>
    <w:unhideWhenUsed/>
    <w:pPr>
      <w:ind w:left="850"/>
      <w:spacing w:after="57"/>
    </w:pPr>
  </w:style>
  <w:style w:type="paragraph" w:styleId="1015">
    <w:name w:val="toc 5"/>
    <w:basedOn w:val="836"/>
    <w:next w:val="836"/>
    <w:uiPriority w:val="39"/>
    <w:unhideWhenUsed/>
    <w:pPr>
      <w:ind w:left="1134"/>
      <w:spacing w:after="57"/>
    </w:pPr>
  </w:style>
  <w:style w:type="paragraph" w:styleId="1016">
    <w:name w:val="toc 6"/>
    <w:basedOn w:val="836"/>
    <w:next w:val="836"/>
    <w:uiPriority w:val="39"/>
    <w:unhideWhenUsed/>
    <w:pPr>
      <w:ind w:left="1417"/>
      <w:spacing w:after="57"/>
    </w:pPr>
  </w:style>
  <w:style w:type="paragraph" w:styleId="1017">
    <w:name w:val="toc 7"/>
    <w:basedOn w:val="836"/>
    <w:next w:val="836"/>
    <w:uiPriority w:val="39"/>
    <w:unhideWhenUsed/>
    <w:pPr>
      <w:ind w:left="1701"/>
      <w:spacing w:after="57"/>
    </w:pPr>
  </w:style>
  <w:style w:type="paragraph" w:styleId="1018">
    <w:name w:val="toc 8"/>
    <w:basedOn w:val="836"/>
    <w:next w:val="836"/>
    <w:uiPriority w:val="39"/>
    <w:unhideWhenUsed/>
    <w:pPr>
      <w:ind w:left="1984"/>
      <w:spacing w:after="57"/>
    </w:pPr>
  </w:style>
  <w:style w:type="paragraph" w:styleId="1019">
    <w:name w:val="toc 9"/>
    <w:basedOn w:val="836"/>
    <w:next w:val="836"/>
    <w:uiPriority w:val="39"/>
    <w:unhideWhenUsed/>
    <w:pPr>
      <w:ind w:left="2268"/>
      <w:spacing w:after="57"/>
    </w:pPr>
  </w:style>
  <w:style w:type="paragraph" w:styleId="1020">
    <w:name w:val="TOC Heading"/>
    <w:uiPriority w:val="39"/>
    <w:unhideWhenUsed/>
  </w:style>
  <w:style w:type="paragraph" w:styleId="1021">
    <w:name w:val="table of figures"/>
    <w:basedOn w:val="836"/>
    <w:next w:val="836"/>
    <w:uiPriority w:val="99"/>
    <w:unhideWhenUsed/>
  </w:style>
  <w:style w:type="character" w:styleId="1022" w:customStyle="1">
    <w:name w:val="Заголовок 1 Знак"/>
    <w:basedOn w:val="846"/>
    <w:link w:val="837"/>
    <w:rPr>
      <w:rFonts w:ascii="Times New Roman" w:hAnsi="Times New Roman" w:eastAsia="Calibri" w:cs="Times New Roman"/>
      <w:b/>
      <w:sz w:val="28"/>
      <w:szCs w:val="28"/>
      <w:lang w:eastAsia="ru-RU"/>
    </w:rPr>
  </w:style>
  <w:style w:type="character" w:styleId="1023" w:customStyle="1">
    <w:name w:val="Заголовок 2 Знак"/>
    <w:basedOn w:val="846"/>
    <w:link w:val="838"/>
    <w:rPr>
      <w:rFonts w:ascii="Times New Roman" w:hAnsi="Times New Roman" w:eastAsia="Calibri" w:cs="Times New Roman"/>
      <w:b/>
      <w:bCs/>
      <w:sz w:val="24"/>
      <w:szCs w:val="24"/>
      <w:lang w:eastAsia="ru-RU"/>
    </w:rPr>
  </w:style>
  <w:style w:type="character" w:styleId="1024" w:customStyle="1">
    <w:name w:val="Заголовок 3 Знак"/>
    <w:basedOn w:val="846"/>
    <w:link w:val="839"/>
    <w:rPr>
      <w:rFonts w:ascii="Times New Roman" w:hAnsi="Times New Roman" w:eastAsia="Calibri" w:cs="Times New Roman"/>
      <w:b/>
      <w:sz w:val="24"/>
      <w:szCs w:val="24"/>
      <w:lang w:eastAsia="ru-RU"/>
    </w:rPr>
  </w:style>
  <w:style w:type="character" w:styleId="1025" w:customStyle="1">
    <w:name w:val="Заголовок 4 Знак"/>
    <w:basedOn w:val="846"/>
    <w:link w:val="840"/>
    <w:rPr>
      <w:rFonts w:ascii="Times New Roman" w:hAnsi="Times New Roman" w:eastAsia="Calibri" w:cs="Times New Roman"/>
      <w:b/>
      <w:bCs/>
      <w:sz w:val="24"/>
      <w:szCs w:val="24"/>
      <w:lang w:eastAsia="ru-RU"/>
    </w:rPr>
  </w:style>
  <w:style w:type="character" w:styleId="1026" w:customStyle="1">
    <w:name w:val="Нижний колонтитул Знак"/>
    <w:link w:val="1030"/>
    <w:uiPriority w:val="99"/>
  </w:style>
  <w:style w:type="paragraph" w:styleId="1027">
    <w:name w:val="Header"/>
    <w:basedOn w:val="836"/>
    <w:link w:val="1028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character" w:styleId="1028" w:customStyle="1">
    <w:name w:val="Верхний колонтитул Знак"/>
    <w:basedOn w:val="846"/>
    <w:link w:val="1027"/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1029">
    <w:name w:val="Table Grid"/>
    <w:basedOn w:val="847"/>
    <w:uiPriority w:val="3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30">
    <w:name w:val="Footer"/>
    <w:basedOn w:val="836"/>
    <w:link w:val="1026"/>
    <w:uiPriority w:val="99"/>
    <w:pPr>
      <w:tabs>
        <w:tab w:val="center" w:pos="4677" w:leader="none"/>
        <w:tab w:val="right" w:pos="9355" w:leader="none"/>
      </w:tabs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1031" w:customStyle="1">
    <w:name w:val="Нижний колонтитул Знак1"/>
    <w:basedOn w:val="846"/>
    <w:uiPriority w:val="99"/>
    <w:semiHidden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1032">
    <w:name w:val="page number"/>
    <w:basedOn w:val="846"/>
  </w:style>
  <w:style w:type="paragraph" w:styleId="1033">
    <w:name w:val="annotation text"/>
    <w:basedOn w:val="836"/>
    <w:link w:val="1034"/>
    <w:rPr>
      <w:sz w:val="20"/>
      <w:szCs w:val="20"/>
    </w:rPr>
  </w:style>
  <w:style w:type="character" w:styleId="1034" w:customStyle="1">
    <w:name w:val="Текст примечания Знак"/>
    <w:basedOn w:val="846"/>
    <w:link w:val="1033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35">
    <w:name w:val="List Paragraph"/>
    <w:basedOn w:val="836"/>
    <w:link w:val="1038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1036" w:customStyle="1">
    <w:name w:val="Таблица"/>
    <w:basedOn w:val="836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paragraph" w:styleId="1037" w:customStyle="1">
    <w:name w:val="Таблица шапка"/>
    <w:basedOn w:val="836"/>
    <w:pPr>
      <w:ind w:left="57" w:right="57"/>
      <w:keepNext/>
      <w:spacing w:before="40" w:after="40"/>
    </w:pPr>
    <w:rPr>
      <w:sz w:val="22"/>
      <w:szCs w:val="26"/>
    </w:rPr>
  </w:style>
  <w:style w:type="character" w:styleId="1038" w:customStyle="1">
    <w:name w:val="Абзац списка Знак"/>
    <w:link w:val="1035"/>
    <w:uiPriority w:val="34"/>
    <w:qFormat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1039" w:customStyle="1">
    <w:name w:val="комментарий"/>
    <w:rPr>
      <w:b/>
      <w:i/>
      <w:shd w:val="clear" w:color="auto" w:fill="ffff99"/>
    </w:rPr>
  </w:style>
  <w:style w:type="paragraph" w:styleId="1040">
    <w:name w:val="footnote text"/>
    <w:basedOn w:val="836"/>
    <w:link w:val="1041"/>
    <w:uiPriority w:val="99"/>
    <w:semiHidden/>
    <w:rPr>
      <w:sz w:val="20"/>
      <w:szCs w:val="20"/>
    </w:rPr>
  </w:style>
  <w:style w:type="character" w:styleId="1041" w:customStyle="1">
    <w:name w:val="Текст сноски Знак"/>
    <w:basedOn w:val="846"/>
    <w:link w:val="1040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042">
    <w:name w:val="footnote reference"/>
    <w:uiPriority w:val="99"/>
    <w:semiHidden/>
    <w:rPr>
      <w:vertAlign w:val="superscript"/>
    </w:rPr>
  </w:style>
  <w:style w:type="character" w:styleId="1043">
    <w:name w:val="annotation reference"/>
    <w:basedOn w:val="846"/>
    <w:uiPriority w:val="99"/>
    <w:semiHidden/>
    <w:unhideWhenUsed/>
    <w:rPr>
      <w:sz w:val="16"/>
      <w:szCs w:val="16"/>
    </w:rPr>
  </w:style>
  <w:style w:type="paragraph" w:styleId="1044">
    <w:name w:val="annotation subject"/>
    <w:basedOn w:val="1033"/>
    <w:next w:val="1033"/>
    <w:link w:val="1045"/>
    <w:uiPriority w:val="99"/>
    <w:semiHidden/>
    <w:unhideWhenUsed/>
    <w:rPr>
      <w:b/>
      <w:bCs/>
    </w:rPr>
  </w:style>
  <w:style w:type="character" w:styleId="1045" w:customStyle="1">
    <w:name w:val="Тема примечания Знак"/>
    <w:basedOn w:val="1034"/>
    <w:link w:val="1044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046">
    <w:name w:val="Balloon Text"/>
    <w:basedOn w:val="836"/>
    <w:link w:val="1047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1047" w:customStyle="1">
    <w:name w:val="Текст выноски Знак"/>
    <w:basedOn w:val="846"/>
    <w:link w:val="1046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hyperlink" Target="https://docs.cntd.ru/document/573068704" TargetMode="External"/><Relationship Id="rId14" Type="http://schemas.openxmlformats.org/officeDocument/2006/relationships/hyperlink" Target="https://docs.cntd.ru/document/573114692" TargetMode="External"/><Relationship Id="rId15" Type="http://schemas.openxmlformats.org/officeDocument/2006/relationships/hyperlink" Target="http://www.zakupki.gov.ru" TargetMode="External"/><Relationship Id="rId16" Type="http://schemas.openxmlformats.org/officeDocument/2006/relationships/hyperlink" Target="mailto:kolousov-iv@dgk.ru" TargetMode="External"/><Relationship Id="rId17" Type="http://schemas.openxmlformats.org/officeDocument/2006/relationships/comments" Target="comments.xml" /><Relationship Id="rId18" Type="http://schemas.microsoft.com/office/2011/relationships/commentsExtended" Target="commentsExtended.xml" /><Relationship Id="rId19" Type="http://schemas.microsoft.com/office/2018/08/relationships/commentsExtensible" Target="commentsExtensible.xml" /><Relationship Id="rId20" Type="http://schemas.microsoft.com/office/2016/09/relationships/commentsIds" Target="commentsIds.xml" /><Relationship Id="rId21" Type="http://schemas.microsoft.com/office/2011/relationships/people" Target="people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Колоусов Иван Владимирович</dc:creator>
  <cp:keywords/>
  <dc:description/>
  <cp:lastModifiedBy>khrapataya-ys</cp:lastModifiedBy>
  <cp:revision>40</cp:revision>
  <dcterms:created xsi:type="dcterms:W3CDTF">2025-02-27T23:21:00Z</dcterms:created>
  <dcterms:modified xsi:type="dcterms:W3CDTF">2026-03-18T01:09:45Z</dcterms:modified>
</cp:coreProperties>
</file>